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w:t>
      </w:r>
      <w:r>
        <w:rPr>
          <w:rFonts w:ascii="Arial" w:hAnsi="Arial" w:cs="Arial"/>
          <w:b/>
          <w:sz w:val="22"/>
          <w:szCs w:val="22"/>
          <w:lang w:eastAsia="zh-CN"/>
        </w:rPr>
        <w:t>8</w:t>
      </w:r>
      <w:r>
        <w:rPr>
          <w:rFonts w:ascii="Arial" w:hAnsi="Arial" w:cs="Arial"/>
          <w:b/>
          <w:sz w:val="22"/>
          <w:szCs w:val="22"/>
        </w:rPr>
        <w:tab/>
      </w:r>
      <w:r>
        <w:rPr>
          <w:rFonts w:ascii="Arial" w:hAnsi="Arial" w:cs="Arial"/>
          <w:b/>
          <w:sz w:val="22"/>
          <w:szCs w:val="22"/>
        </w:rPr>
        <w:t>R1-1908244</w:t>
      </w:r>
    </w:p>
    <w:p>
      <w:pPr>
        <w:tabs>
          <w:tab w:val="right" w:pos="9630"/>
        </w:tabs>
        <w:spacing w:after="0"/>
        <w:rPr>
          <w:rFonts w:ascii="Arial" w:hAnsi="Arial" w:cs="Arial"/>
          <w:b/>
          <w:sz w:val="22"/>
          <w:szCs w:val="22"/>
        </w:rPr>
      </w:pPr>
      <w:r>
        <w:rPr>
          <w:rFonts w:ascii="Arial" w:hAnsi="Arial" w:cs="Arial"/>
          <w:b/>
          <w:sz w:val="22"/>
          <w:szCs w:val="22"/>
          <w:lang w:eastAsia="zh-CN"/>
        </w:rPr>
        <w:t>Prague</w:t>
      </w:r>
      <w:r>
        <w:rPr>
          <w:rFonts w:ascii="Arial" w:hAnsi="Arial" w:cs="Arial"/>
          <w:b/>
          <w:sz w:val="22"/>
          <w:szCs w:val="22"/>
        </w:rPr>
        <w:t>, CZ</w:t>
      </w:r>
      <w:r>
        <w:rPr>
          <w:rFonts w:hint="eastAsia" w:ascii="Arial" w:hAnsi="Arial" w:cs="Arial"/>
          <w:b/>
          <w:sz w:val="22"/>
          <w:szCs w:val="22"/>
          <w:lang w:eastAsia="zh-CN"/>
        </w:rPr>
        <w:t xml:space="preserve">, </w:t>
      </w:r>
      <w:r>
        <w:rPr>
          <w:rFonts w:ascii="Arial" w:hAnsi="Arial" w:cs="Arial"/>
          <w:b/>
          <w:sz w:val="22"/>
          <w:szCs w:val="22"/>
          <w:lang w:eastAsia="zh-CN"/>
        </w:rPr>
        <w:t>August 26</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30</w:t>
      </w:r>
      <w:r>
        <w:rPr>
          <w:rFonts w:hint="eastAsia" w:ascii="Arial" w:hAnsi="Arial" w:cs="Arial"/>
          <w:b/>
          <w:sz w:val="22"/>
          <w:szCs w:val="22"/>
          <w:vertAlign w:val="superscript"/>
          <w:lang w:eastAsia="zh-CN"/>
        </w:rPr>
        <w:t>th</w:t>
      </w:r>
      <w:r>
        <w:rPr>
          <w:rFonts w:hint="eastAsia" w:ascii="Arial" w:hAnsi="Arial" w:cs="Arial"/>
          <w:b/>
          <w:sz w:val="22"/>
          <w:szCs w:val="22"/>
          <w:lang w:eastAsia="zh-CN"/>
        </w:rPr>
        <w:t>,</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low latency SCell activation</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rPr>
      </w:pPr>
      <w:r>
        <w:rPr>
          <w:lang w:val="en-GB"/>
        </w:rPr>
        <w:t xml:space="preserve">During RAN2#106 meeting, one LS on low latency SCell activation was sent to RAN1 </w:t>
      </w:r>
      <w:r>
        <w:rPr>
          <w:lang w:val="en-GB"/>
        </w:rPr>
        <w:fldChar w:fldCharType="begin"/>
      </w:r>
      <w:r>
        <w:rPr>
          <w:lang w:val="en-GB"/>
        </w:rPr>
        <w:instrText xml:space="preserve"> REF _Ref14807661 \n \h </w:instrText>
      </w:r>
      <w:r>
        <w:rPr>
          <w:lang w:val="en-GB"/>
        </w:rPr>
        <w:fldChar w:fldCharType="separate"/>
      </w:r>
      <w:r>
        <w:rPr>
          <w:lang w:val="en-GB"/>
        </w:rPr>
        <w:t>[1]</w:t>
      </w:r>
      <w:r>
        <w:rPr>
          <w:lang w:val="en-GB"/>
        </w:rPr>
        <w:fldChar w:fldCharType="end"/>
      </w:r>
      <w:r>
        <w:rPr>
          <w:lang w:val="en-GB"/>
        </w:rPr>
        <w:t>. RAN2 discussed NR fast SCell activation and figured out two potential enhancement directions, i.e., ‘dormancy’ behaviour and temporary RS. RAN2 asks RAN1/RAN4 to provide feedback on the feasibility and gain of these two potential enhancements.</w:t>
      </w:r>
    </w:p>
    <w:p>
      <w:pPr>
        <w:rPr>
          <w:lang w:val="en-GB"/>
        </w:rPr>
      </w:pPr>
      <w:r>
        <w:rPr>
          <w:lang w:val="en-GB"/>
        </w:rPr>
        <w:t xml:space="preserve">In this contribution, we </w:t>
      </w:r>
      <w:r>
        <w:rPr>
          <w:rFonts w:hint="eastAsia"/>
          <w:lang w:val="en-GB"/>
        </w:rPr>
        <w:t xml:space="preserve">provide </w:t>
      </w:r>
      <w:r>
        <w:rPr>
          <w:lang w:val="en-GB"/>
        </w:rPr>
        <w:t xml:space="preserve">analysis on these two potential enhancements mentioned by RAN2 and present our preferred solution to facilitate SCell activation procedure. The corresponding draft LS reply is present in </w:t>
      </w:r>
      <w:r>
        <w:rPr>
          <w:lang w:val="en-GB"/>
        </w:rPr>
        <w:fldChar w:fldCharType="begin"/>
      </w:r>
      <w:r>
        <w:rPr>
          <w:lang w:val="en-GB"/>
        </w:rPr>
        <w:instrText xml:space="preserve"> REF _Ref16597555 \n \h </w:instrText>
      </w:r>
      <w:r>
        <w:rPr>
          <w:lang w:val="en-GB"/>
        </w:rPr>
        <w:fldChar w:fldCharType="separate"/>
      </w:r>
      <w:r>
        <w:rPr>
          <w:lang w:val="en-GB"/>
        </w:rPr>
        <w:t>[2]</w:t>
      </w:r>
      <w:r>
        <w:rPr>
          <w:lang w:val="en-GB"/>
        </w:rPr>
        <w:fldChar w:fldCharType="end"/>
      </w:r>
      <w:r>
        <w:rPr>
          <w:lang w:val="en-GB"/>
        </w:rPr>
        <w:t>.</w:t>
      </w:r>
    </w:p>
    <w:p>
      <w:pPr>
        <w:pStyle w:val="2"/>
        <w:rPr>
          <w:lang w:val="en-US" w:eastAsia="zh-CN"/>
        </w:rPr>
      </w:pPr>
      <w:r>
        <w:rPr>
          <w:lang w:val="en-US" w:eastAsia="zh-CN"/>
        </w:rPr>
        <w:t>‘Dormancy’ behavior and temporary RS</w:t>
      </w:r>
    </w:p>
    <w:p>
      <w:pPr>
        <w:rPr>
          <w:lang w:val="en-GB" w:eastAsia="zh-CN"/>
        </w:rPr>
      </w:pPr>
      <w:r>
        <w:rPr>
          <w:rFonts w:hint="eastAsia"/>
          <w:lang w:eastAsia="zh-CN"/>
        </w:rPr>
        <w:t>B</w:t>
      </w:r>
      <w:r>
        <w:rPr>
          <w:lang w:eastAsia="zh-CN"/>
        </w:rPr>
        <w:t xml:space="preserve">ased on TS38.133 </w:t>
      </w:r>
      <w:r>
        <w:rPr>
          <w:lang w:eastAsia="zh-CN"/>
        </w:rPr>
        <w:fldChar w:fldCharType="begin"/>
      </w:r>
      <w:r>
        <w:rPr>
          <w:lang w:eastAsia="zh-CN"/>
        </w:rPr>
        <w:instrText xml:space="preserve"> REF _Ref15115851 \n \h </w:instrText>
      </w:r>
      <w:r>
        <w:rPr>
          <w:lang w:eastAsia="zh-CN"/>
        </w:rPr>
        <w:fldChar w:fldCharType="separate"/>
      </w:r>
      <w:r>
        <w:rPr>
          <w:lang w:eastAsia="zh-CN"/>
        </w:rPr>
        <w:t>[3]</w:t>
      </w:r>
      <w:r>
        <w:rPr>
          <w:lang w:eastAsia="zh-CN"/>
        </w:rPr>
        <w:fldChar w:fldCharType="end"/>
      </w:r>
      <w:r>
        <w:rPr>
          <w:lang w:eastAsia="zh-CN"/>
        </w:rPr>
        <w:t xml:space="preserve">, </w:t>
      </w:r>
      <w:r>
        <w:rPr>
          <w:lang w:val="en-GB" w:eastAsia="zh-CN"/>
        </w:rPr>
        <w:t>upon receiving SCell activation command in slot n, the UE shall be capable to transmit valid CSI report and apply actions related to the activation command for the SCell being activated no later than in slot n + [T</w:t>
      </w:r>
      <w:r>
        <w:rPr>
          <w:vertAlign w:val="subscript"/>
          <w:lang w:val="en-GB" w:eastAsia="zh-CN"/>
        </w:rPr>
        <w:t>HARQ</w:t>
      </w:r>
      <w:r>
        <w:rPr>
          <w:lang w:val="en-GB" w:eastAsia="zh-CN"/>
        </w:rPr>
        <w:t xml:space="preserve"> + T</w:t>
      </w:r>
      <w:r>
        <w:rPr>
          <w:vertAlign w:val="subscript"/>
          <w:lang w:val="en-GB" w:eastAsia="zh-CN"/>
        </w:rPr>
        <w:t>activation_time</w:t>
      </w:r>
      <w:r>
        <w:rPr>
          <w:lang w:val="en-GB" w:eastAsia="zh-CN"/>
        </w:rPr>
        <w:t xml:space="preserve"> + T</w:t>
      </w:r>
      <w:r>
        <w:rPr>
          <w:vertAlign w:val="subscript"/>
          <w:lang w:val="en-GB" w:eastAsia="zh-CN"/>
        </w:rPr>
        <w:t>CSI_Reporting</w:t>
      </w:r>
      <w:r>
        <w:rPr>
          <w:lang w:val="en-GB" w:eastAsia="zh-CN"/>
        </w:rPr>
        <w:t>], where T</w:t>
      </w:r>
      <w:r>
        <w:rPr>
          <w:vertAlign w:val="subscript"/>
          <w:lang w:val="en-GB" w:eastAsia="zh-CN"/>
        </w:rPr>
        <w:t>HARQ</w:t>
      </w:r>
      <w:r>
        <w:rPr>
          <w:lang w:val="en-GB" w:eastAsia="zh-CN"/>
        </w:rPr>
        <w:t xml:space="preserve"> is the timing between DL data transmission and acknowledgement, i.e., </w:t>
      </w:r>
      <m:oMath>
        <m:sSub>
          <m:sSubPr>
            <m:ctrlPr>
              <w:rPr>
                <w:rFonts w:ascii="Cambria Math" w:hAnsi="Cambria Math"/>
                <w:lang w:val="en-GB" w:eastAsia="zh-CN"/>
              </w:rPr>
            </m:ctrlPr>
          </m:sSubPr>
          <m:e>
            <m:r>
              <w:rPr>
                <w:rFonts w:ascii="Cambria Math" w:hAnsi="Cambria Math"/>
                <w:lang w:val="en-GB" w:eastAsia="zh-CN"/>
              </w:rPr>
              <m:t>k</m:t>
            </m:r>
            <m:ctrlPr>
              <w:rPr>
                <w:rFonts w:ascii="Cambria Math" w:hAnsi="Cambria Math"/>
                <w:lang w:val="en-GB" w:eastAsia="zh-CN"/>
              </w:rPr>
            </m:ctrlPr>
          </m:e>
          <m:sub>
            <m:r>
              <w:rPr>
                <w:rFonts w:ascii="Cambria Math" w:hAnsi="Cambria Math"/>
                <w:lang w:val="en-GB" w:eastAsia="zh-CN"/>
              </w:rPr>
              <m:t>1</m:t>
            </m:r>
            <m:ctrlPr>
              <w:rPr>
                <w:rFonts w:ascii="Cambria Math" w:hAnsi="Cambria Math"/>
                <w:lang w:val="en-GB" w:eastAsia="zh-CN"/>
              </w:rPr>
            </m:ctrlPr>
          </m:sub>
        </m:sSub>
        <m:r>
          <w:rPr>
            <w:rFonts w:ascii="Cambria Math" w:hAnsi="Cambria Math"/>
            <w:lang w:val="en-GB" w:eastAsia="zh-CN"/>
          </w:rPr>
          <m:t xml:space="preserve"> </m:t>
        </m:r>
      </m:oMath>
      <w:r>
        <w:rPr>
          <w:lang w:val="en-GB" w:eastAsia="zh-CN"/>
        </w:rPr>
        <w:t>as defined in RAN1. T</w:t>
      </w:r>
      <w:r>
        <w:rPr>
          <w:vertAlign w:val="subscript"/>
          <w:lang w:val="en-GB" w:eastAsia="zh-CN"/>
        </w:rPr>
        <w:t>activation_time</w:t>
      </w:r>
      <w:r>
        <w:rPr>
          <w:lang w:val="en-GB" w:eastAsia="zh-CN"/>
        </w:rPr>
        <w:t xml:space="preserve"> is mainly for L2 processing, time/frequency-domain synchronization, RF warm up and AGC adjustment. It largely depends on the frequency range, SCell measurement cycle and whether the SCell is known or unknown. T</w:t>
      </w:r>
      <w:r>
        <w:rPr>
          <w:vertAlign w:val="subscript"/>
          <w:lang w:val="en-GB" w:eastAsia="zh-CN"/>
        </w:rPr>
        <w:t>CSI_Reporting</w:t>
      </w:r>
      <w:r>
        <w:rPr>
          <w:lang w:val="en-GB" w:eastAsia="zh-CN"/>
        </w:rPr>
        <w:t xml:space="preserve"> is the delay including uncertainty in acquiring the first available downlink CSI reference resource, UE processing time for CSI reporting and uncertainty in acquiring the first available CSI reporting resource. </w:t>
      </w:r>
    </w:p>
    <w:p>
      <w:pPr>
        <w:rPr>
          <w:lang w:val="en-GB" w:eastAsia="zh-CN"/>
        </w:rPr>
      </w:pPr>
      <w:r>
        <w:rPr>
          <w:lang w:val="en-GB" w:eastAsia="zh-CN"/>
        </w:rPr>
        <w:t>TS38.133 has finalized the SCell activation delay requirement for FR1 while the delay for FR2 is still under discussion. The delay analysis in this contribution is mainly based on FR1.</w:t>
      </w:r>
    </w:p>
    <w:p>
      <w:pPr>
        <w:pStyle w:val="3"/>
        <w:rPr>
          <w:lang w:eastAsia="zh-CN"/>
        </w:rPr>
      </w:pPr>
      <w:r>
        <w:rPr>
          <w:lang w:eastAsia="zh-CN"/>
        </w:rPr>
        <w:t>‘</w:t>
      </w:r>
      <w:r>
        <w:rPr>
          <w:rFonts w:hint="eastAsia"/>
          <w:lang w:eastAsia="zh-CN"/>
        </w:rPr>
        <w:t>D</w:t>
      </w:r>
      <w:r>
        <w:rPr>
          <w:lang w:eastAsia="zh-CN"/>
        </w:rPr>
        <w:t>ormancy’ behaviour</w:t>
      </w:r>
    </w:p>
    <w:p>
      <w:pPr>
        <w:rPr>
          <w:lang w:eastAsia="zh-CN"/>
        </w:rPr>
      </w:pPr>
      <w:r>
        <w:rPr>
          <w:rFonts w:hint="eastAsia"/>
          <w:lang w:eastAsia="zh-CN"/>
        </w:rPr>
        <w:t>A</w:t>
      </w:r>
      <w:r>
        <w:rPr>
          <w:lang w:eastAsia="zh-CN"/>
        </w:rPr>
        <w:t xml:space="preserve">ccording to RAN2 LS </w:t>
      </w:r>
      <w:r>
        <w:rPr>
          <w:lang w:eastAsia="zh-CN"/>
        </w:rPr>
        <w:fldChar w:fldCharType="begin"/>
      </w:r>
      <w:r>
        <w:rPr>
          <w:lang w:eastAsia="zh-CN"/>
        </w:rPr>
        <w:instrText xml:space="preserve"> REF _Ref14807661 \n \h </w:instrText>
      </w:r>
      <w:r>
        <w:rPr>
          <w:lang w:eastAsia="zh-CN"/>
        </w:rPr>
        <w:fldChar w:fldCharType="separate"/>
      </w:r>
      <w:r>
        <w:rPr>
          <w:lang w:eastAsia="zh-CN"/>
        </w:rPr>
        <w:t>[1]</w:t>
      </w:r>
      <w:r>
        <w:rPr>
          <w:lang w:eastAsia="zh-CN"/>
        </w:rPr>
        <w:fldChar w:fldCharType="end"/>
      </w:r>
      <w:r>
        <w:rPr>
          <w:lang w:eastAsia="zh-CN"/>
        </w:rPr>
        <w:t xml:space="preserve">, the 'dormancy' behavior implies that the UE stops monitoring PDCCH but continues other activities such as CSI measurements, AGC and beam management. If ‘dormancy’ behavior is introduced in NR, the delay of </w:t>
      </w:r>
      <w:r>
        <w:rPr>
          <w:lang w:val="en-GB" w:eastAsia="zh-CN"/>
        </w:rPr>
        <w:t>T</w:t>
      </w:r>
      <w:r>
        <w:rPr>
          <w:vertAlign w:val="subscript"/>
          <w:lang w:val="en-GB" w:eastAsia="zh-CN"/>
        </w:rPr>
        <w:t>activation_time</w:t>
      </w:r>
      <w:r>
        <w:rPr>
          <w:lang w:val="en-GB" w:eastAsia="zh-CN"/>
        </w:rPr>
        <w:t xml:space="preserve"> and T</w:t>
      </w:r>
      <w:r>
        <w:rPr>
          <w:vertAlign w:val="subscript"/>
          <w:lang w:val="en-GB" w:eastAsia="zh-CN"/>
        </w:rPr>
        <w:t>CSI_Reporting</w:t>
      </w:r>
      <w:r>
        <w:rPr>
          <w:lang w:eastAsia="zh-CN"/>
        </w:rPr>
        <w:t xml:space="preserve"> can be eliminated since UE continues CSI measurements, ACG and beam management during for the SCell in ‘dormant state’. Instead, an additional BWP switching delay be introduced for SCell to switch from ‘dormant state’ to ‘active state’. From convenience, we denote this BWP switching delay as T</w:t>
      </w:r>
      <w:r>
        <w:rPr>
          <w:vertAlign w:val="subscript"/>
          <w:lang w:eastAsia="zh-CN"/>
        </w:rPr>
        <w:t>BWP</w:t>
      </w:r>
      <w:r>
        <w:rPr>
          <w:lang w:eastAsia="zh-CN"/>
        </w:rPr>
        <w:t xml:space="preserve">. As specified in TS38.133 </w:t>
      </w:r>
      <w:r>
        <w:rPr>
          <w:lang w:eastAsia="zh-CN"/>
        </w:rPr>
        <w:fldChar w:fldCharType="begin"/>
      </w:r>
      <w:r>
        <w:rPr>
          <w:lang w:eastAsia="zh-CN"/>
        </w:rPr>
        <w:instrText xml:space="preserve"> REF _Ref16598529 \n \h </w:instrText>
      </w:r>
      <w:r>
        <w:rPr>
          <w:lang w:eastAsia="zh-CN"/>
        </w:rPr>
        <w:fldChar w:fldCharType="separate"/>
      </w:r>
      <w:r>
        <w:rPr>
          <w:lang w:eastAsia="zh-CN"/>
        </w:rPr>
        <w:t>[3]</w:t>
      </w:r>
      <w:r>
        <w:rPr>
          <w:lang w:eastAsia="zh-CN"/>
        </w:rPr>
        <w:fldChar w:fldCharType="end"/>
      </w:r>
      <w:r>
        <w:rPr>
          <w:lang w:eastAsia="zh-CN"/>
        </w:rPr>
        <w:t xml:space="preserve">, the BWP switching delay varies from 0.75ms to 3ms depending on UE capability and numerology. </w:t>
      </w:r>
    </w:p>
    <w:p>
      <w:pPr>
        <w:keepNext/>
        <w:keepLines/>
        <w:widowControl w:val="0"/>
        <w:overflowPunct/>
        <w:autoSpaceDE/>
        <w:autoSpaceDN/>
        <w:adjustRightInd/>
        <w:spacing w:before="60"/>
        <w:jc w:val="center"/>
        <w:textAlignment w:val="auto"/>
        <w:rPr>
          <w:rFonts w:ascii="Arial Unicode MS" w:hAnsi="Arial Unicode MS" w:eastAsia="Arial Unicode MS" w:cs="Arial Unicode MS"/>
          <w:bCs/>
          <w:sz w:val="21"/>
          <w:szCs w:val="24"/>
          <w:lang w:eastAsia="zh-CN"/>
        </w:rPr>
      </w:pPr>
      <w:r>
        <w:rPr>
          <w:rFonts w:ascii="Arial Unicode MS" w:hAnsi="Arial Unicode MS" w:eastAsia="Arial Unicode MS" w:cs="Arial Unicode MS"/>
          <w:bCs/>
          <w:sz w:val="21"/>
          <w:szCs w:val="24"/>
          <w:lang w:eastAsia="zh-CN"/>
        </w:rPr>
        <w:t>Table 1</w:t>
      </w:r>
      <w:r>
        <w:rPr>
          <w:rFonts w:hint="eastAsia" w:ascii="Arial Unicode MS" w:hAnsi="Arial Unicode MS" w:eastAsia="Arial Unicode MS" w:cs="Arial Unicode MS"/>
          <w:bCs/>
          <w:sz w:val="21"/>
          <w:szCs w:val="24"/>
          <w:lang w:eastAsia="zh-CN"/>
        </w:rPr>
        <w:t>.</w:t>
      </w:r>
      <w:r>
        <w:rPr>
          <w:rFonts w:ascii="Arial Unicode MS" w:hAnsi="Arial Unicode MS" w:eastAsia="Arial Unicode MS" w:cs="Arial Unicode MS"/>
          <w:bCs/>
          <w:sz w:val="21"/>
          <w:szCs w:val="24"/>
          <w:lang w:eastAsia="zh-CN"/>
        </w:rPr>
        <w:t xml:space="preserve"> BWP switch delay from TS38.133</w:t>
      </w:r>
    </w:p>
    <w:tbl>
      <w:tblPr>
        <w:tblStyle w:val="152"/>
        <w:tblW w:w="5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649"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overflowPunct/>
              <w:autoSpaceDE/>
              <w:autoSpaceDN/>
              <w:adjustRightInd/>
              <w:spacing w:after="0"/>
              <w:jc w:val="center"/>
              <w:textAlignment w:val="auto"/>
              <w:rPr>
                <w:rFonts w:ascii="Arial" w:hAnsi="Arial"/>
                <w:b/>
                <w:bCs/>
                <w:sz w:val="18"/>
                <w:szCs w:val="18"/>
                <w:lang w:eastAsia="zh-CN"/>
              </w:rPr>
            </w:pPr>
            <w:r>
              <w:rPr>
                <w:rFonts w:ascii="Arial" w:hAnsi="Arial"/>
                <w:b/>
                <w:bCs/>
                <w:sz w:val="18"/>
                <w:szCs w:val="18"/>
                <w:lang w:eastAsia="zh-CN"/>
              </w:rPr>
              <w:drawing>
                <wp:inline distT="0" distB="0" distL="0" distR="0">
                  <wp:extent cx="140335" cy="162560"/>
                  <wp:effectExtent l="0" t="0" r="0" b="8890"/>
                  <wp:docPr id="1" name="Picture 1" descr="C:\Users\10240317\AppData\Local\Temp\ksohtml\wps864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10240317\AppData\Local\Temp\ksohtml\wps864F.tm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0335" cy="162560"/>
                          </a:xfrm>
                          <a:prstGeom prst="rect">
                            <a:avLst/>
                          </a:prstGeom>
                          <a:noFill/>
                          <a:ln>
                            <a:noFill/>
                          </a:ln>
                        </pic:spPr>
                      </pic:pic>
                    </a:graphicData>
                  </a:graphic>
                </wp:inline>
              </w:drawing>
            </w:r>
          </w:p>
        </w:tc>
        <w:tc>
          <w:tcPr>
            <w:tcW w:w="992" w:type="dxa"/>
            <w:vMerge w:val="restart"/>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b/>
                <w:bCs/>
                <w:sz w:val="18"/>
                <w:szCs w:val="18"/>
                <w:lang w:eastAsia="zh-CN"/>
              </w:rPr>
            </w:pPr>
            <w:r>
              <w:rPr>
                <w:rFonts w:ascii="Arial" w:hAnsi="Arial"/>
                <w:b/>
                <w:bCs/>
                <w:sz w:val="18"/>
                <w:szCs w:val="18"/>
                <w:lang w:eastAsia="zh-CN"/>
              </w:rPr>
              <w:t>NR Slot length (ms)</w:t>
            </w:r>
          </w:p>
        </w:tc>
        <w:tc>
          <w:tcPr>
            <w:tcW w:w="3938" w:type="dxa"/>
            <w:gridSpan w:val="2"/>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b/>
                <w:bCs/>
                <w:sz w:val="18"/>
                <w:szCs w:val="18"/>
                <w:lang w:eastAsia="zh-CN"/>
              </w:rPr>
            </w:pPr>
            <w:r>
              <w:rPr>
                <w:rFonts w:ascii="Arial" w:hAnsi="Arial"/>
                <w:b/>
                <w:bCs/>
                <w:sz w:val="18"/>
                <w:szCs w:val="18"/>
                <w:lang w:eastAsia="zh-CN"/>
              </w:rPr>
              <w:t>BWP switch delay T</w:t>
            </w:r>
            <w:r>
              <w:rPr>
                <w:rFonts w:ascii="Arial" w:hAnsi="Arial"/>
                <w:b/>
                <w:bCs/>
                <w:sz w:val="18"/>
                <w:szCs w:val="18"/>
                <w:vertAlign w:val="subscript"/>
                <w:lang w:eastAsia="zh-CN"/>
              </w:rPr>
              <w:t>BWPswitchDelay</w:t>
            </w:r>
            <w:r>
              <w:rPr>
                <w:rFonts w:ascii="Arial" w:hAnsi="Arial"/>
                <w:b/>
                <w:bCs/>
                <w:sz w:val="18"/>
                <w:szCs w:val="18"/>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49"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left"/>
              <w:textAlignment w:val="auto"/>
              <w:rPr>
                <w:rFonts w:ascii="Arial" w:hAnsi="Arial"/>
                <w:b/>
                <w:bCs/>
                <w:sz w:val="18"/>
                <w:szCs w:val="18"/>
                <w:lang w:eastAsia="zh-CN"/>
              </w:rPr>
            </w:pPr>
          </w:p>
        </w:tc>
        <w:tc>
          <w:tcPr>
            <w:tcW w:w="992" w:type="dxa"/>
            <w:vMerge w:val="continue"/>
            <w:tcBorders>
              <w:top w:val="single" w:color="auto" w:sz="4" w:space="0"/>
              <w:left w:val="nil"/>
              <w:bottom w:val="single" w:color="auto" w:sz="4" w:space="0"/>
              <w:right w:val="single" w:color="auto" w:sz="4" w:space="0"/>
            </w:tcBorders>
            <w:vAlign w:val="center"/>
          </w:tcPr>
          <w:p>
            <w:pPr>
              <w:overflowPunct/>
              <w:autoSpaceDE/>
              <w:autoSpaceDN/>
              <w:adjustRightInd/>
              <w:spacing w:after="0"/>
              <w:jc w:val="left"/>
              <w:textAlignment w:val="auto"/>
              <w:rPr>
                <w:rFonts w:ascii="Arial" w:hAnsi="Arial"/>
                <w:b/>
                <w:bCs/>
                <w:sz w:val="18"/>
                <w:szCs w:val="18"/>
                <w:lang w:eastAsia="zh-CN"/>
              </w:rPr>
            </w:pP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b/>
                <w:bCs/>
                <w:sz w:val="18"/>
                <w:szCs w:val="18"/>
                <w:vertAlign w:val="superscript"/>
                <w:lang w:eastAsia="zh-CN"/>
              </w:rPr>
            </w:pPr>
            <w:r>
              <w:rPr>
                <w:rFonts w:ascii="Arial" w:hAnsi="Arial"/>
                <w:b/>
                <w:bCs/>
                <w:sz w:val="18"/>
                <w:szCs w:val="18"/>
                <w:lang w:eastAsia="zh-CN"/>
              </w:rPr>
              <w:t>Type 1</w:t>
            </w:r>
            <w:r>
              <w:rPr>
                <w:rFonts w:ascii="Arial" w:hAnsi="Arial"/>
                <w:b/>
                <w:bCs/>
                <w:sz w:val="18"/>
                <w:szCs w:val="18"/>
                <w:vertAlign w:val="superscript"/>
                <w:lang w:eastAsia="zh-CN"/>
              </w:rPr>
              <w:t>Note 1</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b/>
                <w:bCs/>
                <w:sz w:val="18"/>
                <w:szCs w:val="18"/>
                <w:vertAlign w:val="superscript"/>
                <w:lang w:eastAsia="zh-CN"/>
              </w:rPr>
            </w:pPr>
            <w:r>
              <w:rPr>
                <w:rFonts w:ascii="Arial" w:hAnsi="Arial"/>
                <w:b/>
                <w:bCs/>
                <w:sz w:val="18"/>
                <w:szCs w:val="18"/>
                <w:lang w:eastAsia="zh-CN"/>
              </w:rPr>
              <w:t>Type 2</w:t>
            </w:r>
            <w:r>
              <w:rPr>
                <w:rFonts w:ascii="Arial" w:hAnsi="Arial"/>
                <w:b/>
                <w:bCs/>
                <w:sz w:val="18"/>
                <w:szCs w:val="18"/>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0</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1</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1</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1</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0.5</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2</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2</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0.25</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3</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3</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0.125</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6</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79" w:type="dxa"/>
            <w:gridSpan w:val="4"/>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ind w:hanging="851"/>
              <w:jc w:val="left"/>
              <w:textAlignment w:val="auto"/>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szCs w:val="18"/>
                <w:lang w:eastAsia="zh-CN"/>
              </w:rPr>
              <w:t>Depends on UE capability.</w:t>
            </w:r>
          </w:p>
          <w:p>
            <w:pPr>
              <w:keepNext/>
              <w:keepLines/>
              <w:widowControl w:val="0"/>
              <w:overflowPunct/>
              <w:autoSpaceDE/>
              <w:autoSpaceDN/>
              <w:adjustRightInd/>
              <w:spacing w:after="0"/>
              <w:ind w:hanging="851"/>
              <w:jc w:val="left"/>
              <w:textAlignment w:val="auto"/>
              <w:rPr>
                <w:rFonts w:ascii="Arial" w:hAnsi="Arial"/>
                <w:sz w:val="18"/>
                <w:szCs w:val="18"/>
                <w:lang w:eastAsia="zh-CN"/>
              </w:rPr>
            </w:pPr>
            <w:r>
              <w:rPr>
                <w:rFonts w:ascii="Arial" w:hAnsi="Arial"/>
                <w:sz w:val="18"/>
                <w:szCs w:val="18"/>
                <w:lang w:eastAsia="zh-CN"/>
              </w:rPr>
              <w:t>Note 2:</w:t>
            </w:r>
            <w:r>
              <w:rPr>
                <w:rFonts w:ascii="Arial" w:hAnsi="Arial"/>
                <w:sz w:val="18"/>
                <w:szCs w:val="18"/>
                <w:lang w:eastAsia="zh-CN"/>
              </w:rPr>
              <w:tab/>
            </w:r>
            <w:r>
              <w:rPr>
                <w:rFonts w:ascii="Arial" w:hAnsi="Arial"/>
                <w:sz w:val="18"/>
                <w:szCs w:val="18"/>
                <w:lang w:eastAsia="zh-CN"/>
              </w:rPr>
              <w:t>If the BWP switch involves changing of SCS, the BWP switch delay is determined by the larger one between the SCS before BWP switch and the SCS after BWP switch.</w:t>
            </w:r>
          </w:p>
        </w:tc>
      </w:tr>
    </w:tbl>
    <w:p>
      <w:pPr>
        <w:rPr>
          <w:lang w:eastAsia="zh-CN"/>
        </w:rPr>
      </w:pPr>
    </w:p>
    <w:p>
      <w:pPr>
        <w:rPr>
          <w:lang w:eastAsia="zh-CN"/>
        </w:rPr>
      </w:pPr>
      <w:r>
        <w:rPr>
          <w:lang w:eastAsia="zh-CN"/>
        </w:rPr>
        <w:t xml:space="preserve">In Rel-15, the MAC CE is adopted to convey SCell activation command. If ‘dormancy’ behavior is adopted in Rel-16, the DCI can also be considered to convey SCell activation command. For higher reliability, it is preferred to feedback ACK/NACK for the SCell activation command even if it is conveyed in DCI, which is similar to the SPS release DCI. In this sense, the </w:t>
      </w:r>
      <w:r>
        <w:rPr>
          <w:lang w:val="en-GB" w:eastAsia="zh-CN"/>
        </w:rPr>
        <w:t>T</w:t>
      </w:r>
      <w:r>
        <w:rPr>
          <w:vertAlign w:val="subscript"/>
          <w:lang w:val="en-GB" w:eastAsia="zh-CN"/>
        </w:rPr>
        <w:t>HARQ</w:t>
      </w:r>
      <w:r>
        <w:rPr>
          <w:lang w:eastAsia="zh-CN"/>
        </w:rPr>
        <w:t xml:space="preserve"> should still be considered in the SCell activation delay. Typical values of </w:t>
      </w:r>
      <w:r>
        <w:rPr>
          <w:lang w:val="en-GB" w:eastAsia="zh-CN"/>
        </w:rPr>
        <w:t>T</w:t>
      </w:r>
      <w:r>
        <w:rPr>
          <w:vertAlign w:val="subscript"/>
          <w:lang w:val="en-GB" w:eastAsia="zh-CN"/>
        </w:rPr>
        <w:t>HARQ</w:t>
      </w:r>
      <w:r>
        <w:rPr>
          <w:lang w:val="en-GB" w:eastAsia="zh-CN"/>
        </w:rPr>
        <w:t xml:space="preserve"> for FR1 are 1 or 2 slots, namely 1~ 2 ms.</w:t>
      </w:r>
    </w:p>
    <w:p>
      <w:pPr>
        <w:rPr>
          <w:lang w:eastAsia="zh-CN"/>
        </w:rPr>
      </w:pPr>
      <w:r>
        <w:rPr>
          <w:lang w:eastAsia="zh-CN"/>
        </w:rPr>
        <w:t>Overall, for ‘dormancy’ behavior, the SCell activation delay can be reduced to [</w:t>
      </w:r>
      <w:r>
        <w:rPr>
          <w:lang w:val="en-GB" w:eastAsia="zh-CN"/>
        </w:rPr>
        <w:t>T</w:t>
      </w:r>
      <w:r>
        <w:rPr>
          <w:vertAlign w:val="subscript"/>
          <w:lang w:val="en-GB" w:eastAsia="zh-CN"/>
        </w:rPr>
        <w:t>HARQ</w:t>
      </w:r>
      <w:r>
        <w:rPr>
          <w:lang w:val="en-GB" w:eastAsia="zh-CN"/>
        </w:rPr>
        <w:t xml:space="preserve"> + </w:t>
      </w:r>
      <w:r>
        <w:rPr>
          <w:lang w:eastAsia="zh-CN"/>
        </w:rPr>
        <w:t>T</w:t>
      </w:r>
      <w:r>
        <w:rPr>
          <w:vertAlign w:val="subscript"/>
          <w:lang w:eastAsia="zh-CN"/>
        </w:rPr>
        <w:t>BWP</w:t>
      </w:r>
      <w:r>
        <w:rPr>
          <w:lang w:eastAsia="zh-CN"/>
        </w:rPr>
        <w:t>]. With the help of ‘dormancy’ behavior, the SCell activation delay can be reduced to 3~4 ms for FR1.</w:t>
      </w:r>
    </w:p>
    <w:p>
      <w:pPr>
        <w:rPr>
          <w:lang w:eastAsia="zh-CN"/>
        </w:rPr>
      </w:pPr>
      <w:r>
        <w:rPr>
          <w:lang w:eastAsia="zh-CN"/>
        </w:rPr>
        <w:t>After SCell addition, the SCell may be unknown to this UE. In this case, the ‘dormancy’ behavior is useless because anyway the UE has to first receive/measure SSB to obtain coarse time synchronization, AGC adjustment and MIB. This SCell activation procedure, i.e., the Rel-15 SCell activation procedure, is pretty long.</w:t>
      </w:r>
    </w:p>
    <w:p>
      <w:pPr>
        <w:rPr>
          <w:lang w:eastAsia="zh-CN"/>
        </w:rPr>
      </w:pPr>
      <w:r>
        <w:rPr>
          <w:lang w:eastAsia="zh-CN"/>
        </w:rPr>
        <w:t>After SCell addition and the first SCell activation, network can control the SCell in ‘dormant BWP/state’, where UE stops monitoring PDCCH but continues other activities such as CSI measurements, AGC and beam management. The SCell can back to active state quickly at the cost of higher power consumption and higher uplink resource overhead.</w:t>
      </w:r>
    </w:p>
    <w:p>
      <w:pPr>
        <w:pStyle w:val="3"/>
        <w:rPr>
          <w:lang w:eastAsia="zh-CN"/>
        </w:rPr>
      </w:pPr>
      <w:r>
        <w:rPr>
          <w:rFonts w:hint="eastAsia"/>
          <w:lang w:eastAsia="zh-CN"/>
        </w:rPr>
        <w:t>T</w:t>
      </w:r>
      <w:r>
        <w:rPr>
          <w:lang w:eastAsia="zh-CN"/>
        </w:rPr>
        <w:t>emporary RS</w:t>
      </w:r>
    </w:p>
    <w:p>
      <w:pPr>
        <w:rPr>
          <w:lang w:eastAsia="zh-CN"/>
        </w:rPr>
      </w:pPr>
      <w:r>
        <w:rPr>
          <w:rFonts w:hint="eastAsia"/>
          <w:lang w:eastAsia="zh-CN"/>
        </w:rPr>
        <w:t>W</w:t>
      </w:r>
      <w:r>
        <w:rPr>
          <w:lang w:eastAsia="zh-CN"/>
        </w:rPr>
        <w:t xml:space="preserve">ithin these three parts of latency, the </w:t>
      </w:r>
      <w:r>
        <w:rPr>
          <w:lang w:val="en-GB" w:eastAsia="zh-CN"/>
        </w:rPr>
        <w:t>T</w:t>
      </w:r>
      <w:r>
        <w:rPr>
          <w:vertAlign w:val="subscript"/>
          <w:lang w:val="en-GB" w:eastAsia="zh-CN"/>
        </w:rPr>
        <w:t>activation_time</w:t>
      </w:r>
      <w:r>
        <w:rPr>
          <w:lang w:eastAsia="zh-CN"/>
        </w:rPr>
        <w:t xml:space="preserve"> is the dominant part since it is related to SMTC configuration which can be up to 160ms. For known SCell, the SSB during SMTC measurement window is mainly used for AGC adjustment. From RAN1 perspective, other reference signals can also be applied for AGC adjustment, e.g., CSI-RS/TRS.</w:t>
      </w:r>
    </w:p>
    <w:p>
      <w:pPr>
        <w:rPr>
          <w:lang w:eastAsia="zh-CN"/>
        </w:rPr>
      </w:pPr>
      <w:r>
        <w:rPr>
          <w:rFonts w:hint="eastAsia"/>
          <w:lang w:eastAsia="zh-CN"/>
        </w:rPr>
        <w:t>A</w:t>
      </w:r>
      <w:r>
        <w:rPr>
          <w:lang w:eastAsia="zh-CN"/>
        </w:rPr>
        <w:t xml:space="preserve">ccording to TS38.133 (as excerpted below), </w:t>
      </w:r>
      <w:r>
        <w:rPr>
          <w:lang w:val="en-GB" w:eastAsia="zh-CN"/>
        </w:rPr>
        <w:t>T</w:t>
      </w:r>
      <w:r>
        <w:rPr>
          <w:vertAlign w:val="subscript"/>
          <w:lang w:val="en-GB" w:eastAsia="zh-CN"/>
        </w:rPr>
        <w:t>activation_time</w:t>
      </w:r>
      <w:r>
        <w:rPr>
          <w:lang w:eastAsia="zh-CN"/>
        </w:rPr>
        <w:t xml:space="preserve"> includes an extra 5ms in addition to SMTC. The extra 5ms consists of two parts </w:t>
      </w:r>
      <w:r>
        <w:rPr>
          <w:lang w:eastAsia="zh-CN"/>
        </w:rPr>
        <w:fldChar w:fldCharType="begin"/>
      </w:r>
      <w:r>
        <w:rPr>
          <w:lang w:eastAsia="zh-CN"/>
        </w:rPr>
        <w:instrText xml:space="preserve"> REF _Ref16598738 \n \h </w:instrText>
      </w:r>
      <w:r>
        <w:rPr>
          <w:lang w:eastAsia="zh-CN"/>
        </w:rPr>
        <w:fldChar w:fldCharType="separate"/>
      </w:r>
      <w:r>
        <w:rPr>
          <w:lang w:eastAsia="zh-CN"/>
        </w:rPr>
        <w:t>[4]</w:t>
      </w:r>
      <w:r>
        <w:rPr>
          <w:lang w:eastAsia="zh-CN"/>
        </w:rPr>
        <w:fldChar w:fldCharType="end"/>
      </w:r>
      <w:r>
        <w:rPr>
          <w:lang w:eastAsia="zh-CN"/>
        </w:rPr>
        <w:t>:</w:t>
      </w:r>
    </w:p>
    <w:p>
      <w:pPr>
        <w:pStyle w:val="114"/>
        <w:numPr>
          <w:ilvl w:val="0"/>
          <w:numId w:val="9"/>
        </w:numPr>
        <w:rPr>
          <w:lang w:eastAsia="zh-CN"/>
        </w:rPr>
      </w:pPr>
      <w:r>
        <w:rPr>
          <w:lang w:eastAsia="zh-CN"/>
        </w:rPr>
        <w:t>3ms for MAC-CE processing, RF tune, RF warm up and margin;</w:t>
      </w:r>
    </w:p>
    <w:p>
      <w:pPr>
        <w:pStyle w:val="114"/>
        <w:numPr>
          <w:ilvl w:val="0"/>
          <w:numId w:val="9"/>
        </w:numPr>
        <w:rPr>
          <w:lang w:eastAsia="zh-CN"/>
        </w:rPr>
      </w:pPr>
      <w:r>
        <w:rPr>
          <w:lang w:eastAsia="zh-CN"/>
        </w:rPr>
        <w:t>2ms for margin for SSB in PSS/SSS MIB acquisition.</w:t>
      </w:r>
    </w:p>
    <w:p>
      <w:pPr>
        <w:rPr>
          <w:lang w:eastAsia="zh-CN"/>
        </w:rPr>
      </w:pPr>
      <w:r>
        <w:rPr>
          <w:lang w:val="en-GB" w:eastAsia="zh-CN"/>
        </w:rPr>
        <w:t xml:space="preserve">If temporary RS is introduced in SCell activation procedure, the </w:t>
      </w:r>
      <w:r>
        <w:rPr>
          <w:lang w:eastAsia="zh-CN"/>
        </w:rPr>
        <w:t xml:space="preserve">2ms for margin for SSB in PSS/SSS MIB acquisition can eliminated. In other words, </w:t>
      </w:r>
      <w:r>
        <w:rPr>
          <w:lang w:val="en-GB" w:eastAsia="zh-CN"/>
        </w:rPr>
        <w:t>T</w:t>
      </w:r>
      <w:r>
        <w:rPr>
          <w:vertAlign w:val="subscript"/>
          <w:lang w:val="en-GB" w:eastAsia="zh-CN"/>
        </w:rPr>
        <w:t>activation_time</w:t>
      </w:r>
      <w:r>
        <w:rPr>
          <w:lang w:eastAsia="zh-CN"/>
        </w:rPr>
        <w:t xml:space="preserve"> can be displaced by [T</w:t>
      </w:r>
      <w:r>
        <w:rPr>
          <w:vertAlign w:val="subscript"/>
          <w:lang w:eastAsia="zh-CN"/>
        </w:rPr>
        <w:t>TRS</w:t>
      </w:r>
      <w:r>
        <w:rPr>
          <w:lang w:eastAsia="zh-CN"/>
        </w:rPr>
        <w:t xml:space="preserve"> + 3ms], where T</w:t>
      </w:r>
      <w:r>
        <w:rPr>
          <w:vertAlign w:val="subscript"/>
          <w:lang w:eastAsia="zh-CN"/>
        </w:rPr>
        <w:t>TRS</w:t>
      </w:r>
      <w:r>
        <w:rPr>
          <w:lang w:eastAsia="zh-CN"/>
        </w:rPr>
        <w:t xml:space="preserve"> is TRS triggering delay and UE AGC adjustment delay.</w:t>
      </w:r>
    </w:p>
    <w:tbl>
      <w:tblPr>
        <w:tblStyle w:val="59"/>
        <w:tblW w:w="9491"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491" w:type="dxa"/>
          </w:tcPr>
          <w:p>
            <w:pPr>
              <w:pStyle w:val="151"/>
              <w:spacing w:before="0" w:beforeAutospacing="0" w:after="0" w:line="240" w:lineRule="auto"/>
              <w:ind w:left="600" w:leftChars="300"/>
              <w:jc w:val="both"/>
              <w:rPr>
                <w:rFonts w:ascii="Times New Roman" w:hAnsi="Times New Roman" w:eastAsia="Malgun Gothic" w:cs="Times New Roman"/>
                <w:sz w:val="20"/>
                <w:szCs w:val="18"/>
              </w:rPr>
            </w:pPr>
            <w:r>
              <w:rPr>
                <w:rFonts w:ascii="Times New Roman" w:hAnsi="Times New Roman" w:cs="Times New Roman"/>
                <w:sz w:val="20"/>
                <w:szCs w:val="18"/>
              </w:rPr>
              <w:t>T</w:t>
            </w:r>
            <w:r>
              <w:rPr>
                <w:rFonts w:ascii="Times New Roman" w:hAnsi="Times New Roman" w:cs="Times New Roman"/>
                <w:sz w:val="20"/>
                <w:szCs w:val="18"/>
                <w:vertAlign w:val="subscript"/>
              </w:rPr>
              <w:t>activation_time</w:t>
            </w:r>
            <w:r>
              <w:rPr>
                <w:rFonts w:ascii="Times New Roman" w:hAnsi="Times New Roman" w:cs="Times New Roman"/>
                <w:sz w:val="20"/>
                <w:szCs w:val="18"/>
              </w:rPr>
              <w:t xml:space="preserve"> is the SCell activation delay. </w:t>
            </w:r>
          </w:p>
          <w:p>
            <w:pPr>
              <w:pStyle w:val="151"/>
              <w:spacing w:before="0" w:beforeAutospacing="0" w:after="0" w:line="240" w:lineRule="auto"/>
              <w:ind w:left="851"/>
              <w:jc w:val="both"/>
              <w:rPr>
                <w:rFonts w:ascii="Times New Roman" w:hAnsi="Times New Roman" w:eastAsia="宋体" w:cs="Times New Roman"/>
                <w:sz w:val="20"/>
                <w:szCs w:val="18"/>
              </w:rPr>
            </w:pPr>
            <w:r>
              <w:rPr>
                <w:rFonts w:ascii="Times New Roman" w:hAnsi="Times New Roman" w:cs="Times New Roman"/>
                <w:sz w:val="20"/>
                <w:szCs w:val="18"/>
              </w:rPr>
              <w:t>If the SCell is known and belongs to FR1, T</w:t>
            </w:r>
            <w:r>
              <w:rPr>
                <w:rFonts w:ascii="Times New Roman" w:hAnsi="Times New Roman" w:cs="Times New Roman"/>
                <w:sz w:val="20"/>
                <w:szCs w:val="18"/>
                <w:vertAlign w:val="subscript"/>
              </w:rPr>
              <w:t>activation_time</w:t>
            </w:r>
            <w:r>
              <w:rPr>
                <w:rFonts w:ascii="Times New Roman" w:hAnsi="Times New Roman" w:cs="Times New Roman"/>
                <w:sz w:val="20"/>
                <w:szCs w:val="18"/>
              </w:rPr>
              <w:t xml:space="preserve"> is:</w:t>
            </w:r>
          </w:p>
          <w:p>
            <w:pPr>
              <w:pStyle w:val="89"/>
              <w:spacing w:before="0" w:after="0" w:line="240" w:lineRule="auto"/>
              <w:ind w:left="1386"/>
              <w:rPr>
                <w:rFonts w:ascii="Times New Roman" w:hAnsi="Times New Roman"/>
                <w:szCs w:val="18"/>
              </w:rPr>
            </w:pPr>
            <w:r>
              <w:rPr>
                <w:rFonts w:ascii="New York" w:hAnsi="New York"/>
                <w:szCs w:val="18"/>
              </w:rPr>
              <w:t>-</w:t>
            </w:r>
            <w:r>
              <w:rPr>
                <w:rFonts w:ascii="New York" w:hAnsi="New York"/>
                <w:szCs w:val="18"/>
              </w:rPr>
              <w:tab/>
            </w:r>
            <w:r>
              <w:rPr>
                <w:rFonts w:ascii="New York" w:hAnsi="New York"/>
                <w:szCs w:val="18"/>
              </w:rPr>
              <w:t>[T</w:t>
            </w:r>
            <w:r>
              <w:rPr>
                <w:rFonts w:ascii="New York" w:hAnsi="New York"/>
                <w:szCs w:val="18"/>
                <w:vertAlign w:val="subscript"/>
              </w:rPr>
              <w:t>SMTC_SCell</w:t>
            </w:r>
            <w:r>
              <w:rPr>
                <w:rFonts w:ascii="New York" w:hAnsi="New York"/>
                <w:szCs w:val="18"/>
              </w:rPr>
              <w:t xml:space="preserve"> + 5ms], if the SCell measurement cycle is equal to or smaller than [160ms].</w:t>
            </w:r>
          </w:p>
          <w:p>
            <w:pPr>
              <w:pStyle w:val="89"/>
              <w:spacing w:before="0" w:after="0" w:line="240" w:lineRule="auto"/>
              <w:ind w:left="1386"/>
              <w:rPr>
                <w:rFonts w:ascii="Times New Roman" w:hAnsi="Times New Roman"/>
                <w:szCs w:val="18"/>
              </w:rPr>
            </w:pPr>
            <w:r>
              <w:rPr>
                <w:rFonts w:ascii="New York" w:hAnsi="New York"/>
                <w:szCs w:val="18"/>
              </w:rPr>
              <w:t>-</w:t>
            </w:r>
            <w:r>
              <w:rPr>
                <w:rFonts w:ascii="New York" w:hAnsi="New York"/>
                <w:szCs w:val="18"/>
              </w:rPr>
              <w:tab/>
            </w:r>
            <w:r>
              <w:rPr>
                <w:rFonts w:ascii="New York" w:hAnsi="New York"/>
                <w:szCs w:val="18"/>
              </w:rPr>
              <w:t>[T</w:t>
            </w:r>
            <w:r>
              <w:rPr>
                <w:rFonts w:ascii="New York" w:hAnsi="New York"/>
                <w:szCs w:val="18"/>
                <w:vertAlign w:val="subscript"/>
              </w:rPr>
              <w:t>SMTC_MAX</w:t>
            </w:r>
            <w:r>
              <w:rPr>
                <w:rFonts w:ascii="New York" w:hAnsi="New York"/>
                <w:szCs w:val="18"/>
              </w:rPr>
              <w:t xml:space="preserve"> + T</w:t>
            </w:r>
            <w:r>
              <w:rPr>
                <w:rFonts w:ascii="New York" w:hAnsi="New York"/>
                <w:szCs w:val="18"/>
                <w:vertAlign w:val="subscript"/>
              </w:rPr>
              <w:t>SMTC_SCell</w:t>
            </w:r>
            <w:r>
              <w:rPr>
                <w:rFonts w:ascii="New York" w:hAnsi="New York"/>
                <w:szCs w:val="18"/>
              </w:rPr>
              <w:t xml:space="preserve"> + 5ms], if the SCell measurement cycle is larger than [160ms].</w:t>
            </w:r>
          </w:p>
          <w:p>
            <w:pPr>
              <w:pStyle w:val="151"/>
              <w:spacing w:before="0" w:beforeAutospacing="0" w:after="0" w:line="240" w:lineRule="auto"/>
              <w:ind w:left="851"/>
              <w:jc w:val="both"/>
              <w:rPr>
                <w:rFonts w:ascii="Times New Roman" w:hAnsi="Times New Roman" w:cs="Times New Roman"/>
                <w:sz w:val="20"/>
                <w:szCs w:val="18"/>
              </w:rPr>
            </w:pPr>
            <w:r>
              <w:rPr>
                <w:rFonts w:ascii="Times New Roman" w:hAnsi="Times New Roman" w:cs="Times New Roman"/>
                <w:sz w:val="20"/>
                <w:szCs w:val="18"/>
              </w:rPr>
              <w:t>If the SCell is unknown and belongs to FR1, T</w:t>
            </w:r>
            <w:r>
              <w:rPr>
                <w:rFonts w:ascii="Times New Roman" w:hAnsi="Times New Roman" w:cs="Times New Roman"/>
                <w:sz w:val="20"/>
                <w:szCs w:val="18"/>
                <w:vertAlign w:val="subscript"/>
              </w:rPr>
              <w:t>activation_time</w:t>
            </w:r>
            <w:r>
              <w:rPr>
                <w:rFonts w:ascii="Times New Roman" w:hAnsi="Times New Roman" w:cs="Times New Roman"/>
                <w:sz w:val="20"/>
                <w:szCs w:val="18"/>
              </w:rPr>
              <w:t xml:space="preserve"> is:</w:t>
            </w:r>
          </w:p>
          <w:p>
            <w:pPr>
              <w:pStyle w:val="89"/>
              <w:spacing w:before="0" w:after="0" w:line="240" w:lineRule="auto"/>
              <w:ind w:left="1386"/>
              <w:rPr>
                <w:rFonts w:ascii="Times New Roman" w:hAnsi="Times New Roman"/>
              </w:rPr>
            </w:pPr>
            <w:r>
              <w:rPr>
                <w:rFonts w:ascii="New York" w:hAnsi="New York"/>
                <w:szCs w:val="18"/>
              </w:rPr>
              <w:t>-</w:t>
            </w:r>
            <w:r>
              <w:rPr>
                <w:rFonts w:ascii="New York" w:hAnsi="New York"/>
                <w:szCs w:val="18"/>
              </w:rPr>
              <w:tab/>
            </w:r>
            <w:r>
              <w:rPr>
                <w:rFonts w:ascii="New York" w:hAnsi="New York"/>
                <w:szCs w:val="18"/>
              </w:rPr>
              <w:t>[2*T</w:t>
            </w:r>
            <w:r>
              <w:rPr>
                <w:rFonts w:ascii="New York" w:hAnsi="New York"/>
                <w:szCs w:val="18"/>
                <w:vertAlign w:val="subscript"/>
              </w:rPr>
              <w:t xml:space="preserve">SMTC_MAX </w:t>
            </w:r>
            <w:r>
              <w:rPr>
                <w:rFonts w:ascii="New York" w:hAnsi="New York"/>
                <w:szCs w:val="18"/>
              </w:rPr>
              <w:t>+ 2*T</w:t>
            </w:r>
            <w:r>
              <w:rPr>
                <w:rFonts w:ascii="New York" w:hAnsi="New York"/>
                <w:szCs w:val="18"/>
                <w:vertAlign w:val="subscript"/>
              </w:rPr>
              <w:t>SMTC_SCell</w:t>
            </w:r>
            <w:r>
              <w:rPr>
                <w:rFonts w:ascii="New York" w:hAnsi="New York"/>
                <w:szCs w:val="18"/>
              </w:rPr>
              <w:t xml:space="preserve"> + 5ms] provided the SCell can be successfully detected on the first attempt.</w:t>
            </w:r>
          </w:p>
        </w:tc>
      </w:tr>
    </w:tbl>
    <w:p>
      <w:pPr>
        <w:rPr>
          <w:lang w:eastAsia="zh-CN"/>
        </w:rPr>
      </w:pPr>
    </w:p>
    <w:p>
      <w:pPr>
        <w:rPr>
          <w:lang w:val="en-GB" w:eastAsia="zh-CN"/>
        </w:rPr>
      </w:pPr>
      <w:r>
        <w:rPr>
          <w:rFonts w:hint="eastAsia"/>
          <w:lang w:eastAsia="zh-CN"/>
        </w:rPr>
        <w:t>O</w:t>
      </w:r>
      <w:r>
        <w:rPr>
          <w:lang w:eastAsia="zh-CN"/>
        </w:rPr>
        <w:t xml:space="preserve">verall, for known SCell, the SCell activation delay can be reduced to </w:t>
      </w:r>
      <w:r>
        <w:rPr>
          <w:lang w:val="en-GB" w:eastAsia="zh-CN"/>
        </w:rPr>
        <w:t>[T</w:t>
      </w:r>
      <w:r>
        <w:rPr>
          <w:vertAlign w:val="subscript"/>
          <w:lang w:val="en-GB" w:eastAsia="zh-CN"/>
        </w:rPr>
        <w:t>HARQ</w:t>
      </w:r>
      <w:r>
        <w:rPr>
          <w:lang w:val="en-GB" w:eastAsia="zh-CN"/>
        </w:rPr>
        <w:t xml:space="preserve"> + T</w:t>
      </w:r>
      <w:r>
        <w:rPr>
          <w:vertAlign w:val="subscript"/>
          <w:lang w:val="en-GB" w:eastAsia="zh-CN"/>
        </w:rPr>
        <w:t xml:space="preserve">TRS </w:t>
      </w:r>
      <w:r>
        <w:rPr>
          <w:lang w:val="en-GB" w:eastAsia="zh-CN"/>
        </w:rPr>
        <w:t>+ 3 + T</w:t>
      </w:r>
      <w:r>
        <w:rPr>
          <w:vertAlign w:val="subscript"/>
          <w:lang w:val="en-GB" w:eastAsia="zh-CN"/>
        </w:rPr>
        <w:t>CSI_Reporting</w:t>
      </w:r>
      <w:r>
        <w:rPr>
          <w:lang w:val="en-GB" w:eastAsia="zh-CN"/>
        </w:rPr>
        <w:t>]. The T</w:t>
      </w:r>
      <w:r>
        <w:rPr>
          <w:vertAlign w:val="subscript"/>
          <w:lang w:val="en-GB" w:eastAsia="zh-CN"/>
        </w:rPr>
        <w:t>TRS</w:t>
      </w:r>
      <w:r>
        <w:rPr>
          <w:lang w:val="en-GB" w:eastAsia="zh-CN"/>
        </w:rPr>
        <w:t xml:space="preserve"> and T</w:t>
      </w:r>
      <w:r>
        <w:rPr>
          <w:vertAlign w:val="subscript"/>
          <w:lang w:val="en-GB" w:eastAsia="zh-CN"/>
        </w:rPr>
        <w:t>CSI_Reporting</w:t>
      </w:r>
      <w:r>
        <w:rPr>
          <w:lang w:val="en-GB" w:eastAsia="zh-CN"/>
        </w:rPr>
        <w:t xml:space="preserve"> largely depend on the network configuration. If aperiodic TRS and CSI report are triggered during SCell activation, the SCell activation delay can be easily reduced to less than 10ms at least for FR1. As mentioned in preceding section, typical values of T</w:t>
      </w:r>
      <w:r>
        <w:rPr>
          <w:vertAlign w:val="subscript"/>
          <w:lang w:val="en-GB" w:eastAsia="zh-CN"/>
        </w:rPr>
        <w:t>HARQ</w:t>
      </w:r>
      <w:r>
        <w:rPr>
          <w:lang w:val="en-GB" w:eastAsia="zh-CN"/>
        </w:rPr>
        <w:t xml:space="preserve"> for FR1 are 1 or 2 slots, namely 1~ 2ms. If TRS is aperiodic TRS that triggered via DCI, the TRS triggering delay and measurement delay is about 1~ 2ms. The delay for CSI measurement and CSI reporting (i.e., T</w:t>
      </w:r>
      <w:r>
        <w:rPr>
          <w:vertAlign w:val="subscript"/>
          <w:lang w:val="en-GB" w:eastAsia="zh-CN"/>
        </w:rPr>
        <w:t>CSI_Reporting</w:t>
      </w:r>
      <w:r>
        <w:rPr>
          <w:lang w:val="en-GB" w:eastAsia="zh-CN"/>
        </w:rPr>
        <w:t>) can be less than 2ms. Overall, the minimum delay of temporary RS for SCell activation can be down to 7ms.</w:t>
      </w:r>
    </w:p>
    <w:p>
      <w:pPr>
        <w:rPr>
          <w:lang w:val="en-GB" w:eastAsia="zh-CN"/>
        </w:rPr>
      </w:pPr>
      <w:r>
        <w:rPr>
          <w:lang w:val="en-GB" w:eastAsia="zh-CN"/>
        </w:rPr>
        <w:t xml:space="preserve">The temporary RS is applicable to both known SCell and unknown SCell since the temporary RS can be used to perform AGC adjustment and obtain finer time tracking. For unknown SCell, four SMTC periodicities are needed for SCell activation procedure. According to </w:t>
      </w:r>
      <w:r>
        <w:rPr>
          <w:lang w:val="en-GB" w:eastAsia="zh-CN"/>
        </w:rPr>
        <w:fldChar w:fldCharType="begin"/>
      </w:r>
      <w:r>
        <w:rPr>
          <w:lang w:val="en-GB" w:eastAsia="zh-CN"/>
        </w:rPr>
        <w:instrText xml:space="preserve"> REF _Ref16598738 \n \h </w:instrText>
      </w:r>
      <w:r>
        <w:rPr>
          <w:lang w:val="en-GB" w:eastAsia="zh-CN"/>
        </w:rPr>
        <w:fldChar w:fldCharType="separate"/>
      </w:r>
      <w:r>
        <w:rPr>
          <w:lang w:val="en-GB" w:eastAsia="zh-CN"/>
        </w:rPr>
        <w:t>[4]</w:t>
      </w:r>
      <w:r>
        <w:rPr>
          <w:lang w:val="en-GB" w:eastAsia="zh-CN"/>
        </w:rPr>
        <w:fldChar w:fldCharType="end"/>
      </w:r>
      <w:r>
        <w:rPr>
          <w:lang w:val="en-GB" w:eastAsia="zh-CN"/>
        </w:rPr>
        <w:t xml:space="preserve">, two of the SMTC periodicities are used for PSS/SSS and MIB acquisition. Another two SMTC periodicities are used for AGC adjustment. From RAN1 perspective, the temporary RS can replace the SSBs for AGC adjustment. In this case, the SCell activation delay for unknown SCell can also be largely reduce, i.e., </w:t>
      </w:r>
      <w:r>
        <w:rPr>
          <w:szCs w:val="18"/>
        </w:rPr>
        <w:t>[</w:t>
      </w:r>
      <w:r>
        <w:rPr>
          <w:lang w:val="en-GB" w:eastAsia="zh-CN"/>
        </w:rPr>
        <w:t>T</w:t>
      </w:r>
      <w:r>
        <w:rPr>
          <w:vertAlign w:val="subscript"/>
          <w:lang w:val="en-GB" w:eastAsia="zh-CN"/>
        </w:rPr>
        <w:t>HARQ</w:t>
      </w:r>
      <w:r>
        <w:rPr>
          <w:lang w:val="en-GB" w:eastAsia="zh-CN"/>
        </w:rPr>
        <w:t xml:space="preserve"> + T</w:t>
      </w:r>
      <w:r>
        <w:rPr>
          <w:vertAlign w:val="subscript"/>
          <w:lang w:val="en-GB" w:eastAsia="zh-CN"/>
        </w:rPr>
        <w:t xml:space="preserve">TRS </w:t>
      </w:r>
      <w:r>
        <w:rPr>
          <w:lang w:val="en-GB" w:eastAsia="zh-CN"/>
        </w:rPr>
        <w:t>+</w:t>
      </w:r>
      <w:r>
        <w:rPr>
          <w:szCs w:val="18"/>
        </w:rPr>
        <w:t xml:space="preserve"> 2*T</w:t>
      </w:r>
      <w:r>
        <w:rPr>
          <w:szCs w:val="18"/>
          <w:vertAlign w:val="subscript"/>
        </w:rPr>
        <w:t>SMTC_SCell</w:t>
      </w:r>
      <w:r>
        <w:rPr>
          <w:szCs w:val="18"/>
        </w:rPr>
        <w:t xml:space="preserve"> + 5ms].</w:t>
      </w:r>
    </w:p>
    <w:p>
      <w:pPr>
        <w:pStyle w:val="3"/>
        <w:rPr>
          <w:lang w:eastAsia="zh-CN"/>
        </w:rPr>
      </w:pPr>
      <w:r>
        <w:rPr>
          <w:lang w:eastAsia="zh-CN"/>
        </w:rPr>
        <w:t>Comparative analysis</w:t>
      </w:r>
    </w:p>
    <w:p>
      <w:pPr>
        <w:rPr>
          <w:i/>
          <w:lang w:val="en-GB" w:eastAsia="zh-CN"/>
        </w:rPr>
      </w:pPr>
      <w:r>
        <w:rPr>
          <w:rFonts w:hint="eastAsia"/>
          <w:b/>
          <w:i/>
          <w:lang w:val="en-GB" w:eastAsia="zh-CN"/>
        </w:rPr>
        <w:t>O</w:t>
      </w:r>
      <w:r>
        <w:rPr>
          <w:b/>
          <w:i/>
          <w:lang w:val="en-GB" w:eastAsia="zh-CN"/>
        </w:rPr>
        <w:t>bservation 1</w:t>
      </w:r>
      <w:r>
        <w:rPr>
          <w:i/>
          <w:lang w:val="en-GB" w:eastAsia="zh-CN"/>
        </w:rPr>
        <w:t>: The comparison between ‘Dormancy’ behaviour and temporary RS for SCell activation is summarized as below.</w:t>
      </w:r>
    </w:p>
    <w:p>
      <w:pPr>
        <w:jc w:val="center"/>
        <w:rPr>
          <w:rFonts w:ascii="Arial Unicode MS" w:hAnsi="Arial Unicode MS" w:eastAsia="Arial Unicode MS" w:cs="Arial Unicode MS"/>
          <w:lang w:val="en-GB" w:eastAsia="zh-CN"/>
        </w:rPr>
      </w:pPr>
      <w:r>
        <w:rPr>
          <w:rFonts w:ascii="Arial Unicode MS" w:hAnsi="Arial Unicode MS" w:eastAsia="Arial Unicode MS" w:cs="Arial Unicode MS"/>
          <w:lang w:val="en-GB" w:eastAsia="zh-CN"/>
        </w:rPr>
        <w:t>Table 2. Comparative analysis between ‘dormancy’ behaviour and temporary RS</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1005"/>
        <w:gridCol w:w="3747"/>
        <w:gridCol w:w="3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p>
        </w:tc>
        <w:tc>
          <w:tcPr>
            <w:tcW w:w="3747" w:type="dxa"/>
            <w:shd w:val="clear" w:color="auto" w:fill="DEEAF6" w:themeFill="accent1" w:themeFillTint="33"/>
            <w:vAlign w:val="center"/>
          </w:tcPr>
          <w:p>
            <w:pPr>
              <w:spacing w:before="0" w:after="0" w:line="240" w:lineRule="auto"/>
              <w:jc w:val="center"/>
              <w:rPr>
                <w:rFonts w:ascii="New York" w:hAnsi="New York"/>
                <w:lang w:val="en-GB" w:eastAsia="zh-CN"/>
              </w:rPr>
            </w:pPr>
            <w:r>
              <w:rPr>
                <w:rFonts w:ascii="New York" w:hAnsi="New York"/>
                <w:lang w:val="en-GB" w:eastAsia="zh-CN"/>
              </w:rPr>
              <w:t>‘Dormancy’ behaviour</w:t>
            </w:r>
          </w:p>
        </w:tc>
        <w:tc>
          <w:tcPr>
            <w:tcW w:w="3871" w:type="dxa"/>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T</w:t>
            </w:r>
            <w:r>
              <w:rPr>
                <w:rFonts w:ascii="New York" w:hAnsi="New York"/>
                <w:lang w:val="en-GB" w:eastAsia="zh-CN"/>
              </w:rPr>
              <w:t>emporary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B</w:t>
            </w:r>
            <w:r>
              <w:rPr>
                <w:rFonts w:ascii="New York" w:hAnsi="New York"/>
                <w:lang w:val="en-GB" w:eastAsia="zh-CN"/>
              </w:rPr>
              <w:t>rief description</w:t>
            </w:r>
          </w:p>
        </w:tc>
        <w:tc>
          <w:tcPr>
            <w:tcW w:w="3747" w:type="dxa"/>
            <w:vAlign w:val="center"/>
          </w:tcPr>
          <w:p>
            <w:pPr>
              <w:spacing w:before="0" w:after="0" w:line="240" w:lineRule="auto"/>
              <w:rPr>
                <w:rFonts w:ascii="New York" w:hAnsi="New York"/>
                <w:lang w:val="en-GB" w:eastAsia="zh-CN"/>
              </w:rPr>
            </w:pPr>
            <w:r>
              <w:rPr>
                <w:rFonts w:ascii="New York" w:hAnsi="New York"/>
                <w:lang w:val="en-GB" w:eastAsia="zh-CN"/>
              </w:rPr>
              <w:t>‘Dormancy’ behaviour based on BWP is introduced for faster SCell activation.</w:t>
            </w:r>
          </w:p>
        </w:tc>
        <w:tc>
          <w:tcPr>
            <w:tcW w:w="3871" w:type="dxa"/>
            <w:vAlign w:val="center"/>
          </w:tcPr>
          <w:p>
            <w:pPr>
              <w:spacing w:before="0" w:after="0" w:line="240" w:lineRule="auto"/>
              <w:rPr>
                <w:rFonts w:ascii="New York" w:hAnsi="New York"/>
                <w:lang w:val="en-GB" w:eastAsia="zh-CN"/>
              </w:rPr>
            </w:pPr>
            <w:r>
              <w:rPr>
                <w:rFonts w:hint="eastAsia" w:ascii="New York" w:hAnsi="New York"/>
                <w:lang w:val="en-GB" w:eastAsia="zh-CN"/>
              </w:rPr>
              <w:t>T</w:t>
            </w:r>
            <w:r>
              <w:rPr>
                <w:rFonts w:ascii="New York" w:hAnsi="New York"/>
                <w:lang w:val="en-GB" w:eastAsia="zh-CN"/>
              </w:rPr>
              <w:t>emporary RS is introduced to perform AGC adjustment and finer time tracking.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I</w:t>
            </w:r>
            <w:r>
              <w:rPr>
                <w:rFonts w:ascii="New York" w:hAnsi="New York"/>
                <w:lang w:val="en-GB" w:eastAsia="zh-CN"/>
              </w:rPr>
              <w:t>nactive behaviour</w:t>
            </w:r>
          </w:p>
        </w:tc>
        <w:tc>
          <w:tcPr>
            <w:tcW w:w="3747" w:type="dxa"/>
            <w:vAlign w:val="center"/>
          </w:tcPr>
          <w:p>
            <w:pPr>
              <w:pStyle w:val="114"/>
              <w:numPr>
                <w:ilvl w:val="0"/>
                <w:numId w:val="10"/>
              </w:numPr>
              <w:spacing w:before="0" w:after="0" w:line="240" w:lineRule="auto"/>
              <w:rPr>
                <w:rFonts w:ascii="New York" w:hAnsi="New York"/>
                <w:lang w:eastAsia="zh-CN"/>
              </w:rPr>
            </w:pPr>
            <w:r>
              <w:rPr>
                <w:rFonts w:ascii="New York" w:hAnsi="New York"/>
                <w:lang w:eastAsia="zh-CN"/>
              </w:rPr>
              <w:t>The UE stops monitoring PDCCH but continues other activities such as CSI measurements, AGC and beam management.</w:t>
            </w:r>
          </w:p>
          <w:p>
            <w:pPr>
              <w:pStyle w:val="114"/>
              <w:numPr>
                <w:ilvl w:val="0"/>
                <w:numId w:val="10"/>
              </w:numPr>
              <w:spacing w:before="0" w:after="0" w:line="240" w:lineRule="auto"/>
              <w:rPr>
                <w:rFonts w:ascii="New York" w:hAnsi="New York"/>
                <w:lang w:eastAsia="zh-CN"/>
              </w:rPr>
            </w:pPr>
            <w:r>
              <w:rPr>
                <w:rFonts w:ascii="New York" w:hAnsi="New York"/>
                <w:lang w:eastAsia="zh-CN"/>
              </w:rPr>
              <w:t xml:space="preserve">RRM measurement configured by </w:t>
            </w:r>
            <w:r>
              <w:rPr>
                <w:rFonts w:ascii="New York" w:hAnsi="New York"/>
                <w:i/>
                <w:lang w:eastAsia="zh-CN"/>
              </w:rPr>
              <w:t>MeasObjectNR</w:t>
            </w:r>
            <w:r>
              <w:rPr>
                <w:rFonts w:ascii="New York" w:hAnsi="New York"/>
                <w:lang w:eastAsia="zh-CN"/>
              </w:rPr>
              <w:t>.</w:t>
            </w:r>
          </w:p>
        </w:tc>
        <w:tc>
          <w:tcPr>
            <w:tcW w:w="3871" w:type="dxa"/>
            <w:vAlign w:val="center"/>
          </w:tcPr>
          <w:p>
            <w:pPr>
              <w:spacing w:before="0" w:after="0" w:line="240" w:lineRule="auto"/>
              <w:rPr>
                <w:rFonts w:ascii="New York" w:hAnsi="New York"/>
                <w:lang w:val="en-GB" w:eastAsia="zh-CN"/>
              </w:rPr>
            </w:pPr>
            <w:r>
              <w:rPr>
                <w:rFonts w:ascii="New York" w:hAnsi="New York"/>
                <w:lang w:val="en-GB" w:eastAsia="zh-CN"/>
              </w:rPr>
              <w:t xml:space="preserve">RRM measurement configured by </w:t>
            </w:r>
            <w:r>
              <w:rPr>
                <w:rFonts w:ascii="New York" w:hAnsi="New York"/>
                <w:i/>
                <w:lang w:val="en-GB" w:eastAsia="zh-CN"/>
              </w:rPr>
              <w:t>MeasObjectNR</w:t>
            </w:r>
            <w:r>
              <w:rPr>
                <w:rFonts w:ascii="New York" w:hAnsi="New York"/>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r>
              <w:rPr>
                <w:rFonts w:ascii="New York" w:hAnsi="New York"/>
                <w:lang w:val="en-GB" w:eastAsia="zh-CN"/>
              </w:rPr>
              <w:t>Applicable scenarios</w:t>
            </w:r>
          </w:p>
        </w:tc>
        <w:tc>
          <w:tcPr>
            <w:tcW w:w="3747" w:type="dxa"/>
            <w:vAlign w:val="center"/>
          </w:tcPr>
          <w:p>
            <w:pPr>
              <w:spacing w:before="0" w:after="0" w:line="240" w:lineRule="auto"/>
              <w:rPr>
                <w:rFonts w:ascii="New York" w:hAnsi="New York"/>
                <w:lang w:val="en-GB" w:eastAsia="zh-CN"/>
              </w:rPr>
            </w:pPr>
            <w:r>
              <w:rPr>
                <w:rFonts w:hint="eastAsia" w:ascii="New York" w:hAnsi="New York"/>
                <w:lang w:val="en-GB" w:eastAsia="zh-CN"/>
              </w:rPr>
              <w:t>O</w:t>
            </w:r>
            <w:r>
              <w:rPr>
                <w:rFonts w:ascii="New York" w:hAnsi="New York"/>
                <w:lang w:val="en-GB" w:eastAsia="zh-CN"/>
              </w:rPr>
              <w:t>nly for known SCell</w:t>
            </w:r>
          </w:p>
          <w:p>
            <w:pPr>
              <w:spacing w:before="0" w:after="0" w:line="240" w:lineRule="auto"/>
              <w:rPr>
                <w:rFonts w:ascii="New York" w:hAnsi="New York"/>
                <w:lang w:val="en-GB" w:eastAsia="zh-CN"/>
              </w:rPr>
            </w:pPr>
            <w:r>
              <w:rPr>
                <w:rFonts w:ascii="New York" w:hAnsi="New York"/>
                <w:lang w:val="en-GB" w:eastAsia="zh-CN"/>
              </w:rPr>
              <w:t>(In most cases, not applicable for the initial SCell activation after SCell addition)</w:t>
            </w:r>
          </w:p>
        </w:tc>
        <w:tc>
          <w:tcPr>
            <w:tcW w:w="3871" w:type="dxa"/>
            <w:vAlign w:val="center"/>
          </w:tcPr>
          <w:p>
            <w:pPr>
              <w:spacing w:before="0" w:after="0" w:line="240" w:lineRule="auto"/>
              <w:rPr>
                <w:rFonts w:ascii="New York" w:hAnsi="New York"/>
                <w:lang w:val="en-GB" w:eastAsia="zh-CN"/>
              </w:rPr>
            </w:pPr>
            <w:r>
              <w:rPr>
                <w:rFonts w:ascii="New York" w:hAnsi="New York"/>
                <w:lang w:val="en-GB" w:eastAsia="zh-CN"/>
              </w:rPr>
              <w:t>For both known and unknown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5" w:type="dxa"/>
            <w:vMerge w:val="restart"/>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S</w:t>
            </w:r>
            <w:r>
              <w:rPr>
                <w:rFonts w:ascii="New York" w:hAnsi="New York"/>
                <w:lang w:val="en-GB" w:eastAsia="zh-CN"/>
              </w:rPr>
              <w:t>Cell activation delay</w:t>
            </w:r>
          </w:p>
        </w:tc>
        <w:tc>
          <w:tcPr>
            <w:tcW w:w="1005" w:type="dxa"/>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K</w:t>
            </w:r>
            <w:r>
              <w:rPr>
                <w:rFonts w:ascii="New York" w:hAnsi="New York"/>
                <w:lang w:val="en-GB" w:eastAsia="zh-CN"/>
              </w:rPr>
              <w:t>nown SCell</w:t>
            </w:r>
          </w:p>
        </w:tc>
        <w:tc>
          <w:tcPr>
            <w:tcW w:w="3747" w:type="dxa"/>
            <w:vAlign w:val="center"/>
          </w:tcPr>
          <w:p>
            <w:pPr>
              <w:spacing w:before="0" w:after="0" w:line="240" w:lineRule="auto"/>
              <w:rPr>
                <w:rFonts w:ascii="New York" w:hAnsi="New York"/>
                <w:vertAlign w:val="subscript"/>
                <w:lang w:eastAsia="zh-CN"/>
              </w:rPr>
            </w:pPr>
            <w:r>
              <w:rPr>
                <w:rFonts w:ascii="New York" w:hAnsi="New York"/>
                <w:lang w:val="en-GB" w:eastAsia="zh-CN"/>
              </w:rPr>
              <w:t>T</w:t>
            </w:r>
            <w:r>
              <w:rPr>
                <w:rFonts w:ascii="New York" w:hAnsi="New York"/>
                <w:vertAlign w:val="subscript"/>
                <w:lang w:val="en-GB" w:eastAsia="zh-CN"/>
              </w:rPr>
              <w:t>HARQ</w:t>
            </w:r>
            <w:r>
              <w:rPr>
                <w:rFonts w:ascii="New York" w:hAnsi="New York"/>
                <w:lang w:val="en-GB" w:eastAsia="zh-CN"/>
              </w:rPr>
              <w:t xml:space="preserve"> + </w:t>
            </w:r>
            <w:r>
              <w:rPr>
                <w:rFonts w:ascii="New York" w:hAnsi="New York"/>
                <w:lang w:eastAsia="zh-CN"/>
              </w:rPr>
              <w:t>T</w:t>
            </w:r>
            <w:r>
              <w:rPr>
                <w:rFonts w:ascii="New York" w:hAnsi="New York"/>
                <w:vertAlign w:val="subscript"/>
                <w:lang w:eastAsia="zh-CN"/>
              </w:rPr>
              <w:t>BWP</w:t>
            </w:r>
          </w:p>
          <w:p>
            <w:pPr>
              <w:spacing w:before="0" w:after="0" w:line="240" w:lineRule="auto"/>
              <w:rPr>
                <w:rFonts w:ascii="New York" w:hAnsi="New York"/>
                <w:lang w:val="en-GB" w:eastAsia="zh-CN"/>
              </w:rPr>
            </w:pPr>
            <w:r>
              <w:rPr>
                <w:rFonts w:ascii="New York" w:hAnsi="New York"/>
                <w:lang w:eastAsia="zh-CN"/>
              </w:rPr>
              <w:t>Typical values: 3-5ms</w:t>
            </w:r>
          </w:p>
        </w:tc>
        <w:tc>
          <w:tcPr>
            <w:tcW w:w="3871" w:type="dxa"/>
            <w:vAlign w:val="center"/>
          </w:tcPr>
          <w:p>
            <w:pPr>
              <w:spacing w:before="0" w:after="0" w:line="240" w:lineRule="auto"/>
              <w:rPr>
                <w:rFonts w:ascii="New York" w:hAnsi="New York"/>
                <w:lang w:val="en-GB" w:eastAsia="zh-CN"/>
              </w:rPr>
            </w:pPr>
            <w:r>
              <w:rPr>
                <w:rFonts w:ascii="New York" w:hAnsi="New York"/>
                <w:lang w:val="en-GB" w:eastAsia="zh-CN"/>
              </w:rPr>
              <w:t>T</w:t>
            </w:r>
            <w:r>
              <w:rPr>
                <w:rFonts w:ascii="New York" w:hAnsi="New York"/>
                <w:vertAlign w:val="subscript"/>
                <w:lang w:val="en-GB" w:eastAsia="zh-CN"/>
              </w:rPr>
              <w:t>HARQ</w:t>
            </w:r>
            <w:r>
              <w:rPr>
                <w:rFonts w:ascii="New York" w:hAnsi="New York"/>
                <w:lang w:val="en-GB" w:eastAsia="zh-CN"/>
              </w:rPr>
              <w:t xml:space="preserve"> + T</w:t>
            </w:r>
            <w:r>
              <w:rPr>
                <w:rFonts w:ascii="New York" w:hAnsi="New York"/>
                <w:vertAlign w:val="subscript"/>
                <w:lang w:val="en-GB" w:eastAsia="zh-CN"/>
              </w:rPr>
              <w:t xml:space="preserve">TRS </w:t>
            </w:r>
            <w:r>
              <w:rPr>
                <w:rFonts w:ascii="New York" w:hAnsi="New York"/>
                <w:lang w:val="en-GB" w:eastAsia="zh-CN"/>
              </w:rPr>
              <w:t>+ 3 + T</w:t>
            </w:r>
            <w:r>
              <w:rPr>
                <w:rFonts w:ascii="New York" w:hAnsi="New York"/>
                <w:vertAlign w:val="subscript"/>
                <w:lang w:val="en-GB" w:eastAsia="zh-CN"/>
              </w:rPr>
              <w:t>CSI_Reporting</w:t>
            </w:r>
          </w:p>
          <w:p>
            <w:pPr>
              <w:spacing w:before="0" w:after="0" w:line="240" w:lineRule="auto"/>
              <w:rPr>
                <w:rFonts w:ascii="New York" w:hAnsi="New York"/>
                <w:lang w:val="en-GB" w:eastAsia="zh-CN"/>
              </w:rPr>
            </w:pPr>
            <w:r>
              <w:rPr>
                <w:rFonts w:ascii="New York" w:hAnsi="New York"/>
                <w:lang w:eastAsia="zh-CN"/>
              </w:rPr>
              <w:t>Typical values: 7-10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5" w:type="dxa"/>
            <w:vMerge w:val="continue"/>
            <w:shd w:val="clear" w:color="auto" w:fill="DEEAF6" w:themeFill="accent1" w:themeFillTint="33"/>
            <w:vAlign w:val="center"/>
          </w:tcPr>
          <w:p>
            <w:pPr>
              <w:spacing w:before="0" w:after="0" w:line="240" w:lineRule="auto"/>
              <w:jc w:val="center"/>
              <w:rPr>
                <w:rFonts w:ascii="New York" w:hAnsi="New York"/>
                <w:lang w:val="en-GB" w:eastAsia="zh-CN"/>
              </w:rPr>
            </w:pPr>
          </w:p>
        </w:tc>
        <w:tc>
          <w:tcPr>
            <w:tcW w:w="1005" w:type="dxa"/>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U</w:t>
            </w:r>
            <w:r>
              <w:rPr>
                <w:rFonts w:ascii="New York" w:hAnsi="New York"/>
                <w:lang w:val="en-GB" w:eastAsia="zh-CN"/>
              </w:rPr>
              <w:t>nknown SCell</w:t>
            </w:r>
          </w:p>
        </w:tc>
        <w:tc>
          <w:tcPr>
            <w:tcW w:w="3747" w:type="dxa"/>
            <w:vAlign w:val="center"/>
          </w:tcPr>
          <w:p>
            <w:pPr>
              <w:spacing w:before="0" w:after="0" w:line="240" w:lineRule="auto"/>
              <w:rPr>
                <w:rFonts w:ascii="New York" w:hAnsi="New York"/>
                <w:lang w:val="en-GB" w:eastAsia="zh-CN"/>
              </w:rPr>
            </w:pPr>
            <w:r>
              <w:rPr>
                <w:rFonts w:ascii="New York" w:hAnsi="New York"/>
                <w:lang w:val="en-GB" w:eastAsia="zh-CN"/>
              </w:rPr>
              <w:t>T</w:t>
            </w:r>
            <w:r>
              <w:rPr>
                <w:rFonts w:ascii="New York" w:hAnsi="New York"/>
                <w:vertAlign w:val="subscript"/>
                <w:lang w:val="en-GB" w:eastAsia="zh-CN"/>
              </w:rPr>
              <w:t>HARQ</w:t>
            </w:r>
            <w:r>
              <w:rPr>
                <w:rFonts w:ascii="New York" w:hAnsi="New York"/>
                <w:szCs w:val="18"/>
              </w:rPr>
              <w:t xml:space="preserve"> + 2*T</w:t>
            </w:r>
            <w:r>
              <w:rPr>
                <w:rFonts w:ascii="New York" w:hAnsi="New York"/>
                <w:szCs w:val="18"/>
                <w:vertAlign w:val="subscript"/>
              </w:rPr>
              <w:t xml:space="preserve">SMTC_MAX </w:t>
            </w:r>
            <w:r>
              <w:rPr>
                <w:rFonts w:ascii="New York" w:hAnsi="New York"/>
                <w:szCs w:val="18"/>
              </w:rPr>
              <w:t>+ 2*T</w:t>
            </w:r>
            <w:r>
              <w:rPr>
                <w:rFonts w:ascii="New York" w:hAnsi="New York"/>
                <w:szCs w:val="18"/>
                <w:vertAlign w:val="subscript"/>
              </w:rPr>
              <w:t>SMTC_SCell</w:t>
            </w:r>
            <w:r>
              <w:rPr>
                <w:rFonts w:ascii="New York" w:hAnsi="New York"/>
                <w:szCs w:val="18"/>
              </w:rPr>
              <w:t xml:space="preserve"> + 5ms + </w:t>
            </w:r>
            <w:r>
              <w:rPr>
                <w:rFonts w:ascii="New York" w:hAnsi="New York"/>
                <w:lang w:val="en-GB" w:eastAsia="zh-CN"/>
              </w:rPr>
              <w:t>T</w:t>
            </w:r>
            <w:r>
              <w:rPr>
                <w:rFonts w:ascii="New York" w:hAnsi="New York"/>
                <w:vertAlign w:val="subscript"/>
                <w:lang w:val="en-GB" w:eastAsia="zh-CN"/>
              </w:rPr>
              <w:t>CSI_Reporting</w:t>
            </w:r>
          </w:p>
          <w:p>
            <w:pPr>
              <w:spacing w:before="0" w:after="0" w:line="240" w:lineRule="auto"/>
              <w:rPr>
                <w:rFonts w:ascii="New York" w:hAnsi="New York"/>
                <w:lang w:val="en-GB" w:eastAsia="zh-CN"/>
              </w:rPr>
            </w:pPr>
            <w:r>
              <w:rPr>
                <w:rFonts w:hint="eastAsia" w:ascii="New York" w:hAnsi="New York"/>
                <w:lang w:val="en-GB" w:eastAsia="zh-CN"/>
              </w:rPr>
              <w:t>N</w:t>
            </w:r>
            <w:r>
              <w:rPr>
                <w:rFonts w:ascii="New York" w:hAnsi="New York"/>
                <w:lang w:val="en-GB" w:eastAsia="zh-CN"/>
              </w:rPr>
              <w:t>o gain</w:t>
            </w:r>
          </w:p>
        </w:tc>
        <w:tc>
          <w:tcPr>
            <w:tcW w:w="3871" w:type="dxa"/>
            <w:vAlign w:val="center"/>
          </w:tcPr>
          <w:p>
            <w:pPr>
              <w:spacing w:before="0" w:after="0" w:line="240" w:lineRule="auto"/>
              <w:rPr>
                <w:rFonts w:ascii="Times New Roman" w:hAnsi="Times New Roman"/>
                <w:szCs w:val="18"/>
              </w:rPr>
            </w:pPr>
            <w:r>
              <w:rPr>
                <w:rFonts w:ascii="New York" w:hAnsi="New York"/>
                <w:lang w:val="en-GB" w:eastAsia="zh-CN"/>
              </w:rPr>
              <w:t>T</w:t>
            </w:r>
            <w:r>
              <w:rPr>
                <w:rFonts w:ascii="New York" w:hAnsi="New York"/>
                <w:vertAlign w:val="subscript"/>
                <w:lang w:val="en-GB" w:eastAsia="zh-CN"/>
              </w:rPr>
              <w:t>HARQ</w:t>
            </w:r>
            <w:r>
              <w:rPr>
                <w:rFonts w:ascii="New York" w:hAnsi="New York"/>
                <w:lang w:val="en-GB" w:eastAsia="zh-CN"/>
              </w:rPr>
              <w:t xml:space="preserve"> + T</w:t>
            </w:r>
            <w:r>
              <w:rPr>
                <w:rFonts w:ascii="New York" w:hAnsi="New York"/>
                <w:vertAlign w:val="subscript"/>
                <w:lang w:val="en-GB" w:eastAsia="zh-CN"/>
              </w:rPr>
              <w:t xml:space="preserve">TRS </w:t>
            </w:r>
            <w:r>
              <w:rPr>
                <w:rFonts w:ascii="New York" w:hAnsi="New York"/>
                <w:lang w:val="en-GB" w:eastAsia="zh-CN"/>
              </w:rPr>
              <w:t>+</w:t>
            </w:r>
            <w:r>
              <w:rPr>
                <w:rFonts w:ascii="Times New Roman" w:hAnsi="Times New Roman"/>
                <w:szCs w:val="18"/>
              </w:rPr>
              <w:t xml:space="preserve"> 2*T</w:t>
            </w:r>
            <w:r>
              <w:rPr>
                <w:rFonts w:ascii="Times New Roman" w:hAnsi="Times New Roman"/>
                <w:szCs w:val="18"/>
                <w:vertAlign w:val="subscript"/>
              </w:rPr>
              <w:t>SMTC_SCell</w:t>
            </w:r>
            <w:r>
              <w:rPr>
                <w:rFonts w:ascii="Times New Roman" w:hAnsi="Times New Roman"/>
                <w:szCs w:val="18"/>
              </w:rPr>
              <w:t xml:space="preserve"> + 5ms + </w:t>
            </w:r>
            <w:r>
              <w:rPr>
                <w:rFonts w:ascii="New York" w:hAnsi="New York"/>
                <w:lang w:val="en-GB" w:eastAsia="zh-CN"/>
              </w:rPr>
              <w:t>T</w:t>
            </w:r>
            <w:r>
              <w:rPr>
                <w:rFonts w:ascii="New York" w:hAnsi="New York"/>
                <w:vertAlign w:val="subscript"/>
                <w:lang w:val="en-GB" w:eastAsia="zh-CN"/>
              </w:rPr>
              <w:t>CSI_Reporting</w:t>
            </w:r>
          </w:p>
          <w:p>
            <w:pPr>
              <w:spacing w:before="0" w:after="0" w:line="240" w:lineRule="auto"/>
              <w:rPr>
                <w:rFonts w:ascii="Times New Roman" w:hAnsi="Times New Roman"/>
                <w:szCs w:val="18"/>
              </w:rPr>
            </w:pPr>
            <w:r>
              <w:rPr>
                <w:rFonts w:ascii="Times New Roman" w:hAnsi="Times New Roman"/>
                <w:szCs w:val="18"/>
              </w:rPr>
              <w:t>Gain: Latency reduced by 2* T</w:t>
            </w:r>
            <w:r>
              <w:rPr>
                <w:rFonts w:ascii="Times New Roman" w:hAnsi="Times New Roman"/>
                <w:szCs w:val="18"/>
                <w:vertAlign w:val="subscript"/>
              </w:rPr>
              <w:t>SMTC_MAX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P</w:t>
            </w:r>
            <w:r>
              <w:rPr>
                <w:rFonts w:ascii="New York" w:hAnsi="New York"/>
                <w:lang w:val="en-GB" w:eastAsia="zh-CN"/>
              </w:rPr>
              <w:t>ower consumption</w:t>
            </w:r>
          </w:p>
        </w:tc>
        <w:tc>
          <w:tcPr>
            <w:tcW w:w="3747" w:type="dxa"/>
            <w:vAlign w:val="center"/>
          </w:tcPr>
          <w:p>
            <w:pPr>
              <w:spacing w:before="0" w:after="0" w:line="240" w:lineRule="auto"/>
              <w:rPr>
                <w:rFonts w:ascii="New York" w:hAnsi="New York"/>
                <w:lang w:val="en-GB" w:eastAsia="zh-CN"/>
              </w:rPr>
            </w:pPr>
            <w:r>
              <w:rPr>
                <w:rFonts w:hint="eastAsia" w:ascii="New York" w:hAnsi="New York"/>
                <w:lang w:val="en-GB" w:eastAsia="zh-CN"/>
              </w:rPr>
              <w:t>H</w:t>
            </w:r>
            <w:r>
              <w:rPr>
                <w:rFonts w:ascii="New York" w:hAnsi="New York"/>
                <w:lang w:val="en-GB" w:eastAsia="zh-CN"/>
              </w:rPr>
              <w:t>igh</w:t>
            </w:r>
          </w:p>
          <w:p>
            <w:pPr>
              <w:spacing w:before="0" w:after="0" w:line="240" w:lineRule="auto"/>
              <w:rPr>
                <w:rFonts w:ascii="New York" w:hAnsi="New York"/>
                <w:lang w:val="en-GB" w:eastAsia="zh-CN"/>
              </w:rPr>
            </w:pPr>
            <w:r>
              <w:rPr>
                <w:rFonts w:ascii="New York" w:hAnsi="New York"/>
                <w:lang w:val="en-GB" w:eastAsia="zh-CN"/>
              </w:rPr>
              <w:t>Even in inactive state, UE has to perform CSI measurement, AGC adjustment, beam measurement and RRM measurement,</w:t>
            </w:r>
          </w:p>
        </w:tc>
        <w:tc>
          <w:tcPr>
            <w:tcW w:w="3871" w:type="dxa"/>
            <w:vAlign w:val="center"/>
          </w:tcPr>
          <w:p>
            <w:pPr>
              <w:spacing w:before="0" w:after="0" w:line="240" w:lineRule="auto"/>
              <w:rPr>
                <w:rFonts w:ascii="New York" w:hAnsi="New York"/>
                <w:lang w:val="en-GB" w:eastAsia="zh-CN"/>
              </w:rPr>
            </w:pPr>
            <w:r>
              <w:rPr>
                <w:rFonts w:hint="eastAsia" w:ascii="New York" w:hAnsi="New York"/>
                <w:lang w:val="en-GB" w:eastAsia="zh-CN"/>
              </w:rPr>
              <w:t>L</w:t>
            </w:r>
            <w:r>
              <w:rPr>
                <w:rFonts w:ascii="New York" w:hAnsi="New York"/>
                <w:lang w:val="en-GB" w:eastAsia="zh-CN"/>
              </w:rPr>
              <w:t>ow</w:t>
            </w:r>
          </w:p>
          <w:p>
            <w:pPr>
              <w:spacing w:before="0" w:after="0" w:line="240" w:lineRule="auto"/>
              <w:rPr>
                <w:rFonts w:ascii="New York" w:hAnsi="New York"/>
                <w:lang w:val="en-GB" w:eastAsia="zh-CN"/>
              </w:rPr>
            </w:pPr>
            <w:r>
              <w:rPr>
                <w:rFonts w:ascii="New York" w:hAnsi="New York"/>
                <w:lang w:val="en-GB" w:eastAsia="zh-CN"/>
              </w:rPr>
              <w:t>In inactive state, only RRM measurement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R</w:t>
            </w:r>
            <w:r>
              <w:rPr>
                <w:rFonts w:ascii="New York" w:hAnsi="New York"/>
                <w:lang w:val="en-GB" w:eastAsia="zh-CN"/>
              </w:rPr>
              <w:t>esource overhead</w:t>
            </w:r>
          </w:p>
        </w:tc>
        <w:tc>
          <w:tcPr>
            <w:tcW w:w="3747" w:type="dxa"/>
            <w:vAlign w:val="center"/>
          </w:tcPr>
          <w:p>
            <w:pPr>
              <w:spacing w:before="0" w:after="0" w:line="240" w:lineRule="auto"/>
              <w:rPr>
                <w:rFonts w:ascii="New York" w:hAnsi="New York"/>
                <w:lang w:val="en-GB" w:eastAsia="zh-CN"/>
              </w:rPr>
            </w:pPr>
            <w:r>
              <w:rPr>
                <w:rFonts w:hint="eastAsia" w:ascii="New York" w:hAnsi="New York"/>
                <w:lang w:val="en-GB" w:eastAsia="zh-CN"/>
              </w:rPr>
              <w:t>H</w:t>
            </w:r>
            <w:r>
              <w:rPr>
                <w:rFonts w:ascii="New York" w:hAnsi="New York"/>
                <w:lang w:val="en-GB" w:eastAsia="zh-CN"/>
              </w:rPr>
              <w:t>igh</w:t>
            </w:r>
          </w:p>
          <w:p>
            <w:pPr>
              <w:pStyle w:val="114"/>
              <w:numPr>
                <w:ilvl w:val="0"/>
                <w:numId w:val="11"/>
              </w:numPr>
              <w:spacing w:before="0" w:after="0" w:line="240" w:lineRule="auto"/>
              <w:rPr>
                <w:rFonts w:ascii="New York" w:hAnsi="New York"/>
                <w:lang w:eastAsia="zh-CN"/>
              </w:rPr>
            </w:pPr>
            <w:r>
              <w:rPr>
                <w:rFonts w:ascii="New York" w:hAnsi="New York"/>
                <w:lang w:eastAsia="zh-CN"/>
              </w:rPr>
              <w:t>Frequent CSI report is needed for CSI measurement and beam measurement.</w:t>
            </w:r>
          </w:p>
          <w:p>
            <w:pPr>
              <w:pStyle w:val="114"/>
              <w:numPr>
                <w:ilvl w:val="0"/>
                <w:numId w:val="11"/>
              </w:numPr>
              <w:spacing w:before="0" w:after="0" w:line="240" w:lineRule="auto"/>
              <w:rPr>
                <w:rFonts w:ascii="New York" w:hAnsi="New York"/>
                <w:lang w:eastAsia="zh-CN"/>
              </w:rPr>
            </w:pPr>
            <w:r>
              <w:rPr>
                <w:rFonts w:ascii="New York" w:hAnsi="New York"/>
                <w:lang w:eastAsia="zh-CN"/>
              </w:rPr>
              <w:t>RRM measurement report is also needed.</w:t>
            </w:r>
          </w:p>
        </w:tc>
        <w:tc>
          <w:tcPr>
            <w:tcW w:w="3871" w:type="dxa"/>
            <w:vAlign w:val="center"/>
          </w:tcPr>
          <w:p>
            <w:pPr>
              <w:spacing w:before="0" w:after="0" w:line="240" w:lineRule="auto"/>
              <w:rPr>
                <w:rFonts w:ascii="New York" w:hAnsi="New York"/>
                <w:lang w:val="en-GB" w:eastAsia="zh-CN"/>
              </w:rPr>
            </w:pPr>
            <w:r>
              <w:rPr>
                <w:rFonts w:hint="eastAsia" w:ascii="New York" w:hAnsi="New York"/>
                <w:lang w:val="en-GB" w:eastAsia="zh-CN"/>
              </w:rPr>
              <w:t>L</w:t>
            </w:r>
            <w:r>
              <w:rPr>
                <w:rFonts w:ascii="New York" w:hAnsi="New York"/>
                <w:lang w:val="en-GB" w:eastAsia="zh-CN"/>
              </w:rPr>
              <w:t>ow</w:t>
            </w:r>
          </w:p>
          <w:p>
            <w:pPr>
              <w:spacing w:before="0" w:after="0" w:line="240" w:lineRule="auto"/>
              <w:rPr>
                <w:rFonts w:ascii="New York" w:hAnsi="New York"/>
                <w:lang w:val="en-GB" w:eastAsia="zh-CN"/>
              </w:rPr>
            </w:pPr>
            <w:r>
              <w:rPr>
                <w:rFonts w:hint="eastAsia" w:ascii="New York" w:hAnsi="New York"/>
                <w:lang w:val="en-GB" w:eastAsia="zh-CN"/>
              </w:rPr>
              <w:t>O</w:t>
            </w:r>
            <w:r>
              <w:rPr>
                <w:rFonts w:ascii="New York" w:hAnsi="New York"/>
                <w:lang w:val="en-GB" w:eastAsia="zh-CN"/>
              </w:rPr>
              <w:t>nly RRM measurement report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rPr>
                <w:rFonts w:ascii="New York" w:hAnsi="New York"/>
                <w:lang w:val="en-GB" w:eastAsia="zh-CN"/>
              </w:rPr>
            </w:pPr>
            <w:r>
              <w:rPr>
                <w:rFonts w:hint="eastAsia" w:ascii="New York" w:hAnsi="New York"/>
                <w:lang w:val="en-GB" w:eastAsia="zh-CN"/>
              </w:rPr>
              <w:t>S</w:t>
            </w:r>
            <w:r>
              <w:rPr>
                <w:rFonts w:ascii="New York" w:hAnsi="New York"/>
                <w:lang w:val="en-GB" w:eastAsia="zh-CN"/>
              </w:rPr>
              <w:t>pec impact</w:t>
            </w:r>
          </w:p>
        </w:tc>
        <w:tc>
          <w:tcPr>
            <w:tcW w:w="3747" w:type="dxa"/>
            <w:vAlign w:val="center"/>
          </w:tcPr>
          <w:p>
            <w:pPr>
              <w:spacing w:before="0" w:after="0" w:line="240" w:lineRule="auto"/>
              <w:rPr>
                <w:rFonts w:ascii="New York" w:hAnsi="New York"/>
                <w:lang w:val="en-GB" w:eastAsia="zh-CN"/>
              </w:rPr>
            </w:pPr>
            <w:r>
              <w:rPr>
                <w:rFonts w:hint="eastAsia" w:ascii="New York" w:hAnsi="New York"/>
                <w:lang w:val="en-GB" w:eastAsia="zh-CN"/>
              </w:rPr>
              <w:t>H</w:t>
            </w:r>
            <w:r>
              <w:rPr>
                <w:rFonts w:ascii="New York" w:hAnsi="New York"/>
                <w:lang w:val="en-GB" w:eastAsia="zh-CN"/>
              </w:rPr>
              <w:t xml:space="preserve">ow to trigger UE from ‘inactive state’ to ‘active state’ when UE is not required to monitor PDCCH in the SCell being activated. </w:t>
            </w:r>
          </w:p>
        </w:tc>
        <w:tc>
          <w:tcPr>
            <w:tcW w:w="3871" w:type="dxa"/>
            <w:vAlign w:val="center"/>
          </w:tcPr>
          <w:p>
            <w:pPr>
              <w:spacing w:before="0" w:after="0" w:line="240" w:lineRule="auto"/>
              <w:rPr>
                <w:rFonts w:ascii="New York" w:hAnsi="New York"/>
                <w:lang w:val="en-GB" w:eastAsia="zh-CN"/>
              </w:rPr>
            </w:pPr>
            <w:r>
              <w:rPr>
                <w:rFonts w:hint="eastAsia" w:ascii="New York" w:hAnsi="New York"/>
                <w:lang w:val="en-GB" w:eastAsia="zh-CN"/>
              </w:rPr>
              <w:t>H</w:t>
            </w:r>
            <w:r>
              <w:rPr>
                <w:rFonts w:ascii="New York" w:hAnsi="New York"/>
                <w:lang w:val="en-GB" w:eastAsia="zh-CN"/>
              </w:rPr>
              <w:t>ow to trigger temporary RS during SCell activation.</w:t>
            </w:r>
          </w:p>
        </w:tc>
      </w:tr>
    </w:tbl>
    <w:p>
      <w:pPr>
        <w:rPr>
          <w:lang w:val="en-GB" w:eastAsia="zh-CN"/>
        </w:rPr>
      </w:pPr>
    </w:p>
    <w:p>
      <w:pPr>
        <w:rPr>
          <w:lang w:val="en-GB" w:eastAsia="zh-CN"/>
        </w:rPr>
      </w:pPr>
      <w:r>
        <w:rPr>
          <w:rFonts w:hint="eastAsia"/>
          <w:lang w:val="en-GB" w:eastAsia="zh-CN"/>
        </w:rPr>
        <w:t>T</w:t>
      </w:r>
      <w:r>
        <w:rPr>
          <w:lang w:val="en-GB" w:eastAsia="zh-CN"/>
        </w:rPr>
        <w:t>he smaller SCell activation delay for ‘dormancy’ behaviour is at the cost of higher power consumption and higher resource overhead. Faster SCell activation solution dependents on the trade-off between SCell activation delay and power consumption/resource overhead.</w:t>
      </w:r>
    </w:p>
    <w:p>
      <w:pPr>
        <w:rPr>
          <w:i/>
          <w:lang w:val="en-GB" w:eastAsia="zh-CN"/>
        </w:rPr>
      </w:pPr>
      <w:r>
        <w:rPr>
          <w:b/>
          <w:i/>
          <w:lang w:val="en-GB" w:eastAsia="zh-CN"/>
        </w:rPr>
        <w:t>Observation 2</w:t>
      </w:r>
      <w:r>
        <w:rPr>
          <w:i/>
          <w:lang w:val="en-GB" w:eastAsia="zh-CN"/>
        </w:rPr>
        <w:t>: Faster SCell activation solution dependents on the trade-off between SCell activation delay and power consumption/resource overhead.</w:t>
      </w:r>
    </w:p>
    <w:p>
      <w:pPr>
        <w:rPr>
          <w:lang w:val="en-GB" w:eastAsia="zh-CN"/>
        </w:rPr>
      </w:pPr>
      <w:r>
        <w:rPr>
          <w:lang w:val="en-GB" w:eastAsia="zh-CN"/>
        </w:rPr>
        <w:t>For known SCell, the SCell activation delay of ‘Dormancy’ behaviour is about 4ms smaller than temporary RS. However, the smaller delay is at the cost of higher power consumption and UL resource overhead. Compared with DRX mechanism, ‘dormancy’ behaviour consumes more power since UE has to perform CSI measurement, AGC adjustment and beam management frequently. If the CSI measurement is not frequent enough, the channel state information may not be accurate, which is likely to further decrease the system performance. Besides, more uplink resource is needed for frequent measurement report.</w:t>
      </w:r>
    </w:p>
    <w:p>
      <w:pPr>
        <w:rPr>
          <w:i/>
          <w:lang w:val="en-GB" w:eastAsia="zh-CN"/>
        </w:rPr>
      </w:pPr>
      <w:r>
        <w:rPr>
          <w:b/>
          <w:i/>
          <w:lang w:val="en-GB" w:eastAsia="zh-CN"/>
        </w:rPr>
        <w:t>Observation 3</w:t>
      </w:r>
      <w:r>
        <w:rPr>
          <w:i/>
          <w:lang w:val="en-GB" w:eastAsia="zh-CN"/>
        </w:rPr>
        <w:t>: For known SCell, ‘Dormancy’ behaviour owns a smaller activation delay at the cost of higher power consumption and UL resource overhead.</w:t>
      </w:r>
    </w:p>
    <w:p>
      <w:pPr>
        <w:rPr>
          <w:lang w:val="en-GB" w:eastAsia="zh-CN"/>
        </w:rPr>
      </w:pPr>
      <w:r>
        <w:rPr>
          <w:rFonts w:hint="eastAsia"/>
          <w:lang w:val="en-GB" w:eastAsia="zh-CN"/>
        </w:rPr>
        <w:t>A</w:t>
      </w:r>
      <w:r>
        <w:rPr>
          <w:lang w:val="en-GB" w:eastAsia="zh-CN"/>
        </w:rPr>
        <w:t>ctually, it is not necessary to reduce the SCell activation latency to several milliseconds. Instead, network can use BWP switching to suit different traffic load dynamically. SCell activation is not that frequent in practical network. Reducing the SCell activation latency by increasing the power consumption and UL resource overhead is not desirable. From this angle, temporary RS is more attractive to facilitate SCell activation without introducing addition resource overhead and power consumption.</w:t>
      </w:r>
    </w:p>
    <w:p>
      <w:pPr>
        <w:rPr>
          <w:i/>
          <w:lang w:val="en-GB" w:eastAsia="zh-CN"/>
        </w:rPr>
      </w:pPr>
      <w:r>
        <w:rPr>
          <w:b/>
          <w:i/>
          <w:lang w:val="en-GB" w:eastAsia="zh-CN"/>
        </w:rPr>
        <w:t>Observation 4</w:t>
      </w:r>
      <w:r>
        <w:rPr>
          <w:i/>
          <w:lang w:val="en-GB" w:eastAsia="zh-CN"/>
        </w:rPr>
        <w:t>: Fast traffic adaptation can be realized via BWP switching instead of SCell adaptation.</w:t>
      </w:r>
    </w:p>
    <w:p>
      <w:pPr>
        <w:rPr>
          <w:i/>
          <w:lang w:val="en-GB" w:eastAsia="zh-CN"/>
        </w:rPr>
      </w:pPr>
      <w:r>
        <w:rPr>
          <w:b/>
          <w:i/>
          <w:lang w:val="en-GB" w:eastAsia="zh-CN"/>
        </w:rPr>
        <w:t>Proposal 1</w:t>
      </w:r>
      <w:r>
        <w:rPr>
          <w:i/>
          <w:lang w:val="en-GB" w:eastAsia="zh-CN"/>
        </w:rPr>
        <w:t>: NR supports temporary RS, e.g., CSI-RS/TRS, for SCell activation to reduce the activation delay.</w:t>
      </w:r>
      <w:bookmarkStart w:id="9" w:name="_GoBack"/>
      <w:bookmarkEnd w:id="9"/>
    </w:p>
    <w:p>
      <w:pPr>
        <w:pStyle w:val="2"/>
        <w:rPr>
          <w:lang w:eastAsia="zh-CN"/>
        </w:rPr>
      </w:pPr>
      <w:r>
        <w:rPr>
          <w:lang w:eastAsia="zh-CN"/>
        </w:rPr>
        <w:t>Solution for Temporary RS</w:t>
      </w:r>
    </w:p>
    <w:p>
      <w:pPr>
        <w:rPr>
          <w:lang w:val="en-GB" w:eastAsia="zh-CN"/>
        </w:rPr>
      </w:pPr>
      <w:r>
        <w:rPr>
          <w:rFonts w:hint="eastAsia"/>
          <w:lang w:val="en-GB" w:eastAsia="zh-CN"/>
        </w:rPr>
        <w:t>F</w:t>
      </w:r>
      <w:r>
        <w:rPr>
          <w:lang w:val="en-GB" w:eastAsia="zh-CN"/>
        </w:rPr>
        <w:t>or SCell activation, the TRS can be used as the temporary RS for AGC adjustment and finer timing synchronization. Both SP-TRS and A-TRS can be considered for faster SCell activation.</w:t>
      </w:r>
    </w:p>
    <w:p>
      <w:pPr>
        <w:pStyle w:val="114"/>
        <w:numPr>
          <w:ilvl w:val="0"/>
          <w:numId w:val="12"/>
        </w:numPr>
        <w:rPr>
          <w:lang w:eastAsia="zh-CN"/>
        </w:rPr>
      </w:pPr>
      <w:r>
        <w:rPr>
          <w:rFonts w:hint="eastAsia"/>
          <w:lang w:eastAsia="zh-CN"/>
        </w:rPr>
        <w:t>S</w:t>
      </w:r>
      <w:r>
        <w:rPr>
          <w:lang w:eastAsia="zh-CN"/>
        </w:rPr>
        <w:t>P-TRS</w:t>
      </w:r>
    </w:p>
    <w:p>
      <w:pPr>
        <w:rPr>
          <w:lang w:val="en-GB" w:eastAsia="zh-CN"/>
        </w:rPr>
      </w:pPr>
      <w:r>
        <w:rPr>
          <w:rFonts w:hint="eastAsia"/>
          <w:lang w:val="en-GB" w:eastAsia="zh-CN"/>
        </w:rPr>
        <w:t>I</w:t>
      </w:r>
      <w:r>
        <w:rPr>
          <w:lang w:val="en-GB" w:eastAsia="zh-CN"/>
        </w:rPr>
        <w:t>n Rel-15, MAC-CE is adopted to activate SP-CSI-RS/SP-TRS. SP-TRS activation MAC-CE can be transmitted in any activated Cell. In this sense, it is an implementation issue to activate SP-TRS for SCell activation from RAN1 perspective.</w:t>
      </w:r>
    </w:p>
    <w:p>
      <w:pPr>
        <w:rPr>
          <w:i/>
          <w:lang w:val="en-GB" w:eastAsia="zh-CN"/>
        </w:rPr>
      </w:pPr>
      <w:r>
        <w:rPr>
          <w:b/>
          <w:i/>
          <w:lang w:val="en-GB" w:eastAsia="zh-CN"/>
        </w:rPr>
        <w:t>Observation 5</w:t>
      </w:r>
      <w:r>
        <w:rPr>
          <w:i/>
          <w:lang w:val="en-GB" w:eastAsia="zh-CN"/>
        </w:rPr>
        <w:t>: From RAN1 perspective, activating SP-TRS for SCell activation is an implementation issue.</w:t>
      </w:r>
    </w:p>
    <w:p>
      <w:pPr>
        <w:pStyle w:val="114"/>
        <w:numPr>
          <w:ilvl w:val="0"/>
          <w:numId w:val="12"/>
        </w:numPr>
        <w:rPr>
          <w:lang w:eastAsia="zh-CN"/>
        </w:rPr>
      </w:pPr>
      <w:r>
        <w:rPr>
          <w:lang w:eastAsia="zh-CN"/>
        </w:rPr>
        <w:t>A-TRS</w:t>
      </w:r>
    </w:p>
    <w:p>
      <w:pPr>
        <w:rPr>
          <w:lang w:eastAsia="zh-CN"/>
        </w:rPr>
      </w:pPr>
      <w:r>
        <w:rPr>
          <w:lang w:eastAsia="zh-CN"/>
        </w:rPr>
        <w:t>DCI is adopted to trigger A-TRS in Rel-15. However, there is one restriction for A-CSI triggering in RAN1 spec, i.e., a UE is not expected to be triggered with a CSI report for a non-active DL BWP. During the SCell activation process, it is not clear when the BWP in SCell can be considered as active and when can be considered non-active. To make it clear, it is preferred to specify that a UE can be triggered A-TRS for a non-active BWP during SCell activation process.</w:t>
      </w: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n this contribution, we present analysis on ‘Dormancy’ behaviour and temporary RS for SCell activation. The following observations and proposal have been made.</w:t>
      </w:r>
    </w:p>
    <w:p>
      <w:pPr>
        <w:rPr>
          <w:i/>
          <w:lang w:val="en-GB" w:eastAsia="zh-CN"/>
        </w:rPr>
      </w:pPr>
      <w:r>
        <w:rPr>
          <w:rFonts w:hint="eastAsia"/>
          <w:b/>
          <w:i/>
          <w:lang w:val="en-GB" w:eastAsia="zh-CN"/>
        </w:rPr>
        <w:t>O</w:t>
      </w:r>
      <w:r>
        <w:rPr>
          <w:b/>
          <w:i/>
          <w:lang w:val="en-GB" w:eastAsia="zh-CN"/>
        </w:rPr>
        <w:t>bservation 1</w:t>
      </w:r>
      <w:r>
        <w:rPr>
          <w:i/>
          <w:lang w:val="en-GB" w:eastAsia="zh-CN"/>
        </w:rPr>
        <w:t>: The comparison between ‘Dormancy’ behaviour and temporary RS for SCell activation is summarized as below.</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1005"/>
        <w:gridCol w:w="3747"/>
        <w:gridCol w:w="3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p>
        </w:tc>
        <w:tc>
          <w:tcPr>
            <w:tcW w:w="3747" w:type="dxa"/>
            <w:shd w:val="clear" w:color="auto" w:fill="DEEAF6" w:themeFill="accent1" w:themeFillTint="33"/>
            <w:vAlign w:val="center"/>
          </w:tcPr>
          <w:p>
            <w:pPr>
              <w:spacing w:before="0" w:after="0" w:line="240" w:lineRule="auto"/>
              <w:jc w:val="center"/>
              <w:rPr>
                <w:rFonts w:ascii="New York" w:hAnsi="New York"/>
                <w:lang w:val="en-GB" w:eastAsia="zh-CN"/>
              </w:rPr>
            </w:pPr>
            <w:r>
              <w:rPr>
                <w:rFonts w:ascii="New York" w:hAnsi="New York"/>
                <w:lang w:val="en-GB" w:eastAsia="zh-CN"/>
              </w:rPr>
              <w:t>‘Dormancy’ behaviour</w:t>
            </w:r>
          </w:p>
        </w:tc>
        <w:tc>
          <w:tcPr>
            <w:tcW w:w="3871" w:type="dxa"/>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T</w:t>
            </w:r>
            <w:r>
              <w:rPr>
                <w:rFonts w:ascii="New York" w:hAnsi="New York"/>
                <w:lang w:val="en-GB" w:eastAsia="zh-CN"/>
              </w:rPr>
              <w:t>emporary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B</w:t>
            </w:r>
            <w:r>
              <w:rPr>
                <w:rFonts w:ascii="New York" w:hAnsi="New York"/>
                <w:lang w:val="en-GB" w:eastAsia="zh-CN"/>
              </w:rPr>
              <w:t>rief description</w:t>
            </w:r>
          </w:p>
        </w:tc>
        <w:tc>
          <w:tcPr>
            <w:tcW w:w="3747" w:type="dxa"/>
            <w:vAlign w:val="center"/>
          </w:tcPr>
          <w:p>
            <w:pPr>
              <w:spacing w:before="0" w:after="0" w:line="240" w:lineRule="auto"/>
              <w:rPr>
                <w:rFonts w:ascii="New York" w:hAnsi="New York"/>
                <w:lang w:val="en-GB" w:eastAsia="zh-CN"/>
              </w:rPr>
            </w:pPr>
            <w:r>
              <w:rPr>
                <w:rFonts w:ascii="New York" w:hAnsi="New York"/>
                <w:lang w:val="en-GB" w:eastAsia="zh-CN"/>
              </w:rPr>
              <w:t>‘Dormancy’ behaviour based on BWP is introduced for faster SCell activation.</w:t>
            </w:r>
          </w:p>
        </w:tc>
        <w:tc>
          <w:tcPr>
            <w:tcW w:w="3871" w:type="dxa"/>
            <w:vAlign w:val="center"/>
          </w:tcPr>
          <w:p>
            <w:pPr>
              <w:spacing w:before="0" w:after="0" w:line="240" w:lineRule="auto"/>
              <w:rPr>
                <w:rFonts w:ascii="New York" w:hAnsi="New York"/>
                <w:lang w:val="en-GB" w:eastAsia="zh-CN"/>
              </w:rPr>
            </w:pPr>
            <w:r>
              <w:rPr>
                <w:rFonts w:hint="eastAsia" w:ascii="New York" w:hAnsi="New York"/>
                <w:lang w:val="en-GB" w:eastAsia="zh-CN"/>
              </w:rPr>
              <w:t>T</w:t>
            </w:r>
            <w:r>
              <w:rPr>
                <w:rFonts w:ascii="New York" w:hAnsi="New York"/>
                <w:lang w:val="en-GB" w:eastAsia="zh-CN"/>
              </w:rPr>
              <w:t>emporary RS is introduced to perform AGC adjustment and finer time tracking.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I</w:t>
            </w:r>
            <w:r>
              <w:rPr>
                <w:rFonts w:ascii="New York" w:hAnsi="New York"/>
                <w:lang w:val="en-GB" w:eastAsia="zh-CN"/>
              </w:rPr>
              <w:t>nactive behaviour</w:t>
            </w:r>
          </w:p>
        </w:tc>
        <w:tc>
          <w:tcPr>
            <w:tcW w:w="3747" w:type="dxa"/>
            <w:vAlign w:val="center"/>
          </w:tcPr>
          <w:p>
            <w:pPr>
              <w:pStyle w:val="114"/>
              <w:numPr>
                <w:ilvl w:val="0"/>
                <w:numId w:val="13"/>
              </w:numPr>
              <w:spacing w:before="0" w:after="0" w:line="240" w:lineRule="auto"/>
              <w:rPr>
                <w:rFonts w:ascii="New York" w:hAnsi="New York"/>
                <w:lang w:eastAsia="zh-CN"/>
              </w:rPr>
            </w:pPr>
            <w:r>
              <w:rPr>
                <w:rFonts w:ascii="New York" w:hAnsi="New York"/>
                <w:lang w:eastAsia="zh-CN"/>
              </w:rPr>
              <w:t>The UE stops monitoring PDCCH but continues other activities such as CSI measurements, AGC and beam management.</w:t>
            </w:r>
          </w:p>
          <w:p>
            <w:pPr>
              <w:pStyle w:val="114"/>
              <w:numPr>
                <w:ilvl w:val="0"/>
                <w:numId w:val="13"/>
              </w:numPr>
              <w:spacing w:before="0" w:after="0" w:line="240" w:lineRule="auto"/>
              <w:rPr>
                <w:rFonts w:ascii="New York" w:hAnsi="New York"/>
                <w:lang w:eastAsia="zh-CN"/>
              </w:rPr>
            </w:pPr>
            <w:r>
              <w:rPr>
                <w:rFonts w:ascii="New York" w:hAnsi="New York"/>
                <w:lang w:eastAsia="zh-CN"/>
              </w:rPr>
              <w:t xml:space="preserve">RRM measurement configured by </w:t>
            </w:r>
            <w:r>
              <w:rPr>
                <w:rFonts w:ascii="New York" w:hAnsi="New York"/>
                <w:i/>
                <w:lang w:eastAsia="zh-CN"/>
              </w:rPr>
              <w:t>MeasObjectNR</w:t>
            </w:r>
            <w:r>
              <w:rPr>
                <w:rFonts w:ascii="New York" w:hAnsi="New York"/>
                <w:lang w:eastAsia="zh-CN"/>
              </w:rPr>
              <w:t>.</w:t>
            </w:r>
          </w:p>
        </w:tc>
        <w:tc>
          <w:tcPr>
            <w:tcW w:w="3871" w:type="dxa"/>
            <w:vAlign w:val="center"/>
          </w:tcPr>
          <w:p>
            <w:pPr>
              <w:spacing w:before="0" w:after="0" w:line="240" w:lineRule="auto"/>
              <w:rPr>
                <w:rFonts w:ascii="New York" w:hAnsi="New York"/>
                <w:lang w:val="en-GB" w:eastAsia="zh-CN"/>
              </w:rPr>
            </w:pPr>
            <w:r>
              <w:rPr>
                <w:rFonts w:ascii="New York" w:hAnsi="New York"/>
                <w:lang w:val="en-GB" w:eastAsia="zh-CN"/>
              </w:rPr>
              <w:t xml:space="preserve">RRM measurement configured by </w:t>
            </w:r>
            <w:r>
              <w:rPr>
                <w:rFonts w:ascii="New York" w:hAnsi="New York"/>
                <w:i/>
                <w:lang w:val="en-GB" w:eastAsia="zh-CN"/>
              </w:rPr>
              <w:t>MeasObjectNR</w:t>
            </w:r>
            <w:r>
              <w:rPr>
                <w:rFonts w:ascii="New York" w:hAnsi="New York"/>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r>
              <w:rPr>
                <w:rFonts w:ascii="New York" w:hAnsi="New York"/>
                <w:lang w:val="en-GB" w:eastAsia="zh-CN"/>
              </w:rPr>
              <w:t>Applicable scenarios</w:t>
            </w:r>
          </w:p>
        </w:tc>
        <w:tc>
          <w:tcPr>
            <w:tcW w:w="3747" w:type="dxa"/>
            <w:vAlign w:val="center"/>
          </w:tcPr>
          <w:p>
            <w:pPr>
              <w:spacing w:before="0" w:after="0" w:line="240" w:lineRule="auto"/>
              <w:rPr>
                <w:rFonts w:ascii="New York" w:hAnsi="New York"/>
                <w:lang w:val="en-GB" w:eastAsia="zh-CN"/>
              </w:rPr>
            </w:pPr>
            <w:r>
              <w:rPr>
                <w:rFonts w:hint="eastAsia" w:ascii="New York" w:hAnsi="New York"/>
                <w:lang w:val="en-GB" w:eastAsia="zh-CN"/>
              </w:rPr>
              <w:t>O</w:t>
            </w:r>
            <w:r>
              <w:rPr>
                <w:rFonts w:ascii="New York" w:hAnsi="New York"/>
                <w:lang w:val="en-GB" w:eastAsia="zh-CN"/>
              </w:rPr>
              <w:t>nly for known SCell</w:t>
            </w:r>
          </w:p>
          <w:p>
            <w:pPr>
              <w:spacing w:before="0" w:after="0" w:line="240" w:lineRule="auto"/>
              <w:rPr>
                <w:rFonts w:ascii="New York" w:hAnsi="New York"/>
                <w:lang w:val="en-GB" w:eastAsia="zh-CN"/>
              </w:rPr>
            </w:pPr>
            <w:r>
              <w:rPr>
                <w:rFonts w:ascii="New York" w:hAnsi="New York"/>
                <w:lang w:val="en-GB" w:eastAsia="zh-CN"/>
              </w:rPr>
              <w:t>(In most cases, not applicable for the initial SCell activation after SCell addition)</w:t>
            </w:r>
          </w:p>
        </w:tc>
        <w:tc>
          <w:tcPr>
            <w:tcW w:w="3871" w:type="dxa"/>
            <w:vAlign w:val="center"/>
          </w:tcPr>
          <w:p>
            <w:pPr>
              <w:spacing w:before="0" w:after="0" w:line="240" w:lineRule="auto"/>
              <w:rPr>
                <w:rFonts w:ascii="New York" w:hAnsi="New York"/>
                <w:lang w:val="en-GB" w:eastAsia="zh-CN"/>
              </w:rPr>
            </w:pPr>
            <w:r>
              <w:rPr>
                <w:rFonts w:ascii="New York" w:hAnsi="New York"/>
                <w:lang w:val="en-GB" w:eastAsia="zh-CN"/>
              </w:rPr>
              <w:t>For both known and unknown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5" w:type="dxa"/>
            <w:vMerge w:val="restart"/>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S</w:t>
            </w:r>
            <w:r>
              <w:rPr>
                <w:rFonts w:ascii="New York" w:hAnsi="New York"/>
                <w:lang w:val="en-GB" w:eastAsia="zh-CN"/>
              </w:rPr>
              <w:t>Cell activation delay</w:t>
            </w:r>
          </w:p>
        </w:tc>
        <w:tc>
          <w:tcPr>
            <w:tcW w:w="1005" w:type="dxa"/>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K</w:t>
            </w:r>
            <w:r>
              <w:rPr>
                <w:rFonts w:ascii="New York" w:hAnsi="New York"/>
                <w:lang w:val="en-GB" w:eastAsia="zh-CN"/>
              </w:rPr>
              <w:t>nown SCell</w:t>
            </w:r>
          </w:p>
        </w:tc>
        <w:tc>
          <w:tcPr>
            <w:tcW w:w="3747" w:type="dxa"/>
            <w:vAlign w:val="center"/>
          </w:tcPr>
          <w:p>
            <w:pPr>
              <w:spacing w:before="0" w:after="0" w:line="240" w:lineRule="auto"/>
              <w:rPr>
                <w:rFonts w:ascii="New York" w:hAnsi="New York"/>
                <w:vertAlign w:val="subscript"/>
                <w:lang w:eastAsia="zh-CN"/>
              </w:rPr>
            </w:pPr>
            <w:r>
              <w:rPr>
                <w:rFonts w:ascii="New York" w:hAnsi="New York"/>
                <w:lang w:val="en-GB" w:eastAsia="zh-CN"/>
              </w:rPr>
              <w:t>T</w:t>
            </w:r>
            <w:r>
              <w:rPr>
                <w:rFonts w:ascii="New York" w:hAnsi="New York"/>
                <w:vertAlign w:val="subscript"/>
                <w:lang w:val="en-GB" w:eastAsia="zh-CN"/>
              </w:rPr>
              <w:t>HARQ</w:t>
            </w:r>
            <w:r>
              <w:rPr>
                <w:rFonts w:ascii="New York" w:hAnsi="New York"/>
                <w:lang w:val="en-GB" w:eastAsia="zh-CN"/>
              </w:rPr>
              <w:t xml:space="preserve"> + </w:t>
            </w:r>
            <w:r>
              <w:rPr>
                <w:rFonts w:ascii="New York" w:hAnsi="New York"/>
                <w:lang w:eastAsia="zh-CN"/>
              </w:rPr>
              <w:t>T</w:t>
            </w:r>
            <w:r>
              <w:rPr>
                <w:rFonts w:ascii="New York" w:hAnsi="New York"/>
                <w:vertAlign w:val="subscript"/>
                <w:lang w:eastAsia="zh-CN"/>
              </w:rPr>
              <w:t>BWP</w:t>
            </w:r>
          </w:p>
          <w:p>
            <w:pPr>
              <w:spacing w:before="0" w:after="0" w:line="240" w:lineRule="auto"/>
              <w:rPr>
                <w:rFonts w:ascii="New York" w:hAnsi="New York"/>
                <w:lang w:val="en-GB" w:eastAsia="zh-CN"/>
              </w:rPr>
            </w:pPr>
            <w:r>
              <w:rPr>
                <w:rFonts w:ascii="New York" w:hAnsi="New York"/>
                <w:lang w:eastAsia="zh-CN"/>
              </w:rPr>
              <w:t>Typical values: 3-5ms</w:t>
            </w:r>
          </w:p>
        </w:tc>
        <w:tc>
          <w:tcPr>
            <w:tcW w:w="3871" w:type="dxa"/>
            <w:vAlign w:val="center"/>
          </w:tcPr>
          <w:p>
            <w:pPr>
              <w:spacing w:before="0" w:after="0" w:line="240" w:lineRule="auto"/>
              <w:rPr>
                <w:rFonts w:ascii="New York" w:hAnsi="New York"/>
                <w:lang w:val="en-GB" w:eastAsia="zh-CN"/>
              </w:rPr>
            </w:pPr>
            <w:r>
              <w:rPr>
                <w:rFonts w:ascii="New York" w:hAnsi="New York"/>
                <w:lang w:val="en-GB" w:eastAsia="zh-CN"/>
              </w:rPr>
              <w:t>T</w:t>
            </w:r>
            <w:r>
              <w:rPr>
                <w:rFonts w:ascii="New York" w:hAnsi="New York"/>
                <w:vertAlign w:val="subscript"/>
                <w:lang w:val="en-GB" w:eastAsia="zh-CN"/>
              </w:rPr>
              <w:t>HARQ</w:t>
            </w:r>
            <w:r>
              <w:rPr>
                <w:rFonts w:ascii="New York" w:hAnsi="New York"/>
                <w:lang w:val="en-GB" w:eastAsia="zh-CN"/>
              </w:rPr>
              <w:t xml:space="preserve"> + T</w:t>
            </w:r>
            <w:r>
              <w:rPr>
                <w:rFonts w:ascii="New York" w:hAnsi="New York"/>
                <w:vertAlign w:val="subscript"/>
                <w:lang w:val="en-GB" w:eastAsia="zh-CN"/>
              </w:rPr>
              <w:t xml:space="preserve">TRS </w:t>
            </w:r>
            <w:r>
              <w:rPr>
                <w:rFonts w:ascii="New York" w:hAnsi="New York"/>
                <w:lang w:val="en-GB" w:eastAsia="zh-CN"/>
              </w:rPr>
              <w:t>+ 3 + T</w:t>
            </w:r>
            <w:r>
              <w:rPr>
                <w:rFonts w:ascii="New York" w:hAnsi="New York"/>
                <w:vertAlign w:val="subscript"/>
                <w:lang w:val="en-GB" w:eastAsia="zh-CN"/>
              </w:rPr>
              <w:t>CSI_Reporting</w:t>
            </w:r>
          </w:p>
          <w:p>
            <w:pPr>
              <w:spacing w:before="0" w:after="0" w:line="240" w:lineRule="auto"/>
              <w:rPr>
                <w:rFonts w:ascii="New York" w:hAnsi="New York"/>
                <w:lang w:val="en-GB" w:eastAsia="zh-CN"/>
              </w:rPr>
            </w:pPr>
            <w:r>
              <w:rPr>
                <w:rFonts w:ascii="New York" w:hAnsi="New York"/>
                <w:lang w:eastAsia="zh-CN"/>
              </w:rPr>
              <w:t>Typical values: 7-10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5" w:type="dxa"/>
            <w:vMerge w:val="continue"/>
            <w:shd w:val="clear" w:color="auto" w:fill="DEEAF6" w:themeFill="accent1" w:themeFillTint="33"/>
            <w:vAlign w:val="center"/>
          </w:tcPr>
          <w:p>
            <w:pPr>
              <w:spacing w:before="0" w:after="0" w:line="240" w:lineRule="auto"/>
              <w:jc w:val="center"/>
              <w:rPr>
                <w:rFonts w:ascii="New York" w:hAnsi="New York"/>
                <w:lang w:val="en-GB" w:eastAsia="zh-CN"/>
              </w:rPr>
            </w:pPr>
          </w:p>
        </w:tc>
        <w:tc>
          <w:tcPr>
            <w:tcW w:w="1005" w:type="dxa"/>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U</w:t>
            </w:r>
            <w:r>
              <w:rPr>
                <w:rFonts w:ascii="New York" w:hAnsi="New York"/>
                <w:lang w:val="en-GB" w:eastAsia="zh-CN"/>
              </w:rPr>
              <w:t>nknown SCell</w:t>
            </w:r>
          </w:p>
        </w:tc>
        <w:tc>
          <w:tcPr>
            <w:tcW w:w="3747" w:type="dxa"/>
            <w:vAlign w:val="center"/>
          </w:tcPr>
          <w:p>
            <w:pPr>
              <w:spacing w:before="0" w:after="0" w:line="240" w:lineRule="auto"/>
              <w:rPr>
                <w:rFonts w:ascii="New York" w:hAnsi="New York"/>
                <w:lang w:val="en-GB" w:eastAsia="zh-CN"/>
              </w:rPr>
            </w:pPr>
            <w:r>
              <w:rPr>
                <w:rFonts w:ascii="New York" w:hAnsi="New York"/>
                <w:lang w:val="en-GB" w:eastAsia="zh-CN"/>
              </w:rPr>
              <w:t>T</w:t>
            </w:r>
            <w:r>
              <w:rPr>
                <w:rFonts w:ascii="New York" w:hAnsi="New York"/>
                <w:vertAlign w:val="subscript"/>
                <w:lang w:val="en-GB" w:eastAsia="zh-CN"/>
              </w:rPr>
              <w:t>HARQ</w:t>
            </w:r>
            <w:r>
              <w:rPr>
                <w:rFonts w:ascii="New York" w:hAnsi="New York"/>
                <w:szCs w:val="18"/>
              </w:rPr>
              <w:t xml:space="preserve"> + 2*T</w:t>
            </w:r>
            <w:r>
              <w:rPr>
                <w:rFonts w:ascii="New York" w:hAnsi="New York"/>
                <w:szCs w:val="18"/>
                <w:vertAlign w:val="subscript"/>
              </w:rPr>
              <w:t xml:space="preserve">SMTC_MAX </w:t>
            </w:r>
            <w:r>
              <w:rPr>
                <w:rFonts w:ascii="New York" w:hAnsi="New York"/>
                <w:szCs w:val="18"/>
              </w:rPr>
              <w:t>+ 2*T</w:t>
            </w:r>
            <w:r>
              <w:rPr>
                <w:rFonts w:ascii="New York" w:hAnsi="New York"/>
                <w:szCs w:val="18"/>
                <w:vertAlign w:val="subscript"/>
              </w:rPr>
              <w:t>SMTC_SCell</w:t>
            </w:r>
            <w:r>
              <w:rPr>
                <w:rFonts w:ascii="New York" w:hAnsi="New York"/>
                <w:szCs w:val="18"/>
              </w:rPr>
              <w:t xml:space="preserve"> + 5ms + </w:t>
            </w:r>
            <w:r>
              <w:rPr>
                <w:rFonts w:ascii="New York" w:hAnsi="New York"/>
                <w:lang w:val="en-GB" w:eastAsia="zh-CN"/>
              </w:rPr>
              <w:t>T</w:t>
            </w:r>
            <w:r>
              <w:rPr>
                <w:rFonts w:ascii="New York" w:hAnsi="New York"/>
                <w:vertAlign w:val="subscript"/>
                <w:lang w:val="en-GB" w:eastAsia="zh-CN"/>
              </w:rPr>
              <w:t>CSI_Reporting</w:t>
            </w:r>
          </w:p>
          <w:p>
            <w:pPr>
              <w:spacing w:before="0" w:after="0" w:line="240" w:lineRule="auto"/>
              <w:rPr>
                <w:rFonts w:ascii="New York" w:hAnsi="New York"/>
                <w:lang w:val="en-GB" w:eastAsia="zh-CN"/>
              </w:rPr>
            </w:pPr>
            <w:r>
              <w:rPr>
                <w:rFonts w:hint="eastAsia" w:ascii="New York" w:hAnsi="New York"/>
                <w:lang w:val="en-GB" w:eastAsia="zh-CN"/>
              </w:rPr>
              <w:t>N</w:t>
            </w:r>
            <w:r>
              <w:rPr>
                <w:rFonts w:ascii="New York" w:hAnsi="New York"/>
                <w:lang w:val="en-GB" w:eastAsia="zh-CN"/>
              </w:rPr>
              <w:t>o gain</w:t>
            </w:r>
          </w:p>
        </w:tc>
        <w:tc>
          <w:tcPr>
            <w:tcW w:w="3871" w:type="dxa"/>
            <w:vAlign w:val="center"/>
          </w:tcPr>
          <w:p>
            <w:pPr>
              <w:spacing w:before="0" w:after="0" w:line="240" w:lineRule="auto"/>
              <w:rPr>
                <w:rFonts w:ascii="Times New Roman" w:hAnsi="Times New Roman"/>
                <w:szCs w:val="18"/>
              </w:rPr>
            </w:pPr>
            <w:r>
              <w:rPr>
                <w:rFonts w:ascii="New York" w:hAnsi="New York"/>
                <w:lang w:val="en-GB" w:eastAsia="zh-CN"/>
              </w:rPr>
              <w:t>T</w:t>
            </w:r>
            <w:r>
              <w:rPr>
                <w:rFonts w:ascii="New York" w:hAnsi="New York"/>
                <w:vertAlign w:val="subscript"/>
                <w:lang w:val="en-GB" w:eastAsia="zh-CN"/>
              </w:rPr>
              <w:t>HARQ</w:t>
            </w:r>
            <w:r>
              <w:rPr>
                <w:rFonts w:ascii="New York" w:hAnsi="New York"/>
                <w:lang w:val="en-GB" w:eastAsia="zh-CN"/>
              </w:rPr>
              <w:t xml:space="preserve"> + T</w:t>
            </w:r>
            <w:r>
              <w:rPr>
                <w:rFonts w:ascii="New York" w:hAnsi="New York"/>
                <w:vertAlign w:val="subscript"/>
                <w:lang w:val="en-GB" w:eastAsia="zh-CN"/>
              </w:rPr>
              <w:t xml:space="preserve">TRS </w:t>
            </w:r>
            <w:r>
              <w:rPr>
                <w:rFonts w:ascii="New York" w:hAnsi="New York"/>
                <w:lang w:val="en-GB" w:eastAsia="zh-CN"/>
              </w:rPr>
              <w:t>+</w:t>
            </w:r>
            <w:r>
              <w:rPr>
                <w:rFonts w:ascii="Times New Roman" w:hAnsi="Times New Roman"/>
                <w:szCs w:val="18"/>
              </w:rPr>
              <w:t xml:space="preserve"> 2*T</w:t>
            </w:r>
            <w:r>
              <w:rPr>
                <w:rFonts w:ascii="Times New Roman" w:hAnsi="Times New Roman"/>
                <w:szCs w:val="18"/>
                <w:vertAlign w:val="subscript"/>
              </w:rPr>
              <w:t>SMTC_SCell</w:t>
            </w:r>
            <w:r>
              <w:rPr>
                <w:rFonts w:ascii="Times New Roman" w:hAnsi="Times New Roman"/>
                <w:szCs w:val="18"/>
              </w:rPr>
              <w:t xml:space="preserve"> + 5ms + </w:t>
            </w:r>
            <w:r>
              <w:rPr>
                <w:rFonts w:ascii="New York" w:hAnsi="New York"/>
                <w:lang w:val="en-GB" w:eastAsia="zh-CN"/>
              </w:rPr>
              <w:t>T</w:t>
            </w:r>
            <w:r>
              <w:rPr>
                <w:rFonts w:ascii="New York" w:hAnsi="New York"/>
                <w:vertAlign w:val="subscript"/>
                <w:lang w:val="en-GB" w:eastAsia="zh-CN"/>
              </w:rPr>
              <w:t>CSI_Reporting</w:t>
            </w:r>
          </w:p>
          <w:p>
            <w:pPr>
              <w:spacing w:before="0" w:after="0" w:line="240" w:lineRule="auto"/>
              <w:rPr>
                <w:rFonts w:ascii="Times New Roman" w:hAnsi="Times New Roman"/>
                <w:szCs w:val="18"/>
              </w:rPr>
            </w:pPr>
            <w:r>
              <w:rPr>
                <w:rFonts w:ascii="Times New Roman" w:hAnsi="Times New Roman"/>
                <w:szCs w:val="18"/>
              </w:rPr>
              <w:t>Gain: Latency reduced by 2* T</w:t>
            </w:r>
            <w:r>
              <w:rPr>
                <w:rFonts w:ascii="Times New Roman" w:hAnsi="Times New Roman"/>
                <w:szCs w:val="18"/>
                <w:vertAlign w:val="subscript"/>
              </w:rPr>
              <w:t>SMTC_MAX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P</w:t>
            </w:r>
            <w:r>
              <w:rPr>
                <w:rFonts w:ascii="New York" w:hAnsi="New York"/>
                <w:lang w:val="en-GB" w:eastAsia="zh-CN"/>
              </w:rPr>
              <w:t>ower consumption</w:t>
            </w:r>
          </w:p>
        </w:tc>
        <w:tc>
          <w:tcPr>
            <w:tcW w:w="3747" w:type="dxa"/>
            <w:vAlign w:val="center"/>
          </w:tcPr>
          <w:p>
            <w:pPr>
              <w:spacing w:before="0" w:after="0" w:line="240" w:lineRule="auto"/>
              <w:rPr>
                <w:rFonts w:ascii="New York" w:hAnsi="New York"/>
                <w:lang w:val="en-GB" w:eastAsia="zh-CN"/>
              </w:rPr>
            </w:pPr>
            <w:r>
              <w:rPr>
                <w:rFonts w:hint="eastAsia" w:ascii="New York" w:hAnsi="New York"/>
                <w:lang w:val="en-GB" w:eastAsia="zh-CN"/>
              </w:rPr>
              <w:t>H</w:t>
            </w:r>
            <w:r>
              <w:rPr>
                <w:rFonts w:ascii="New York" w:hAnsi="New York"/>
                <w:lang w:val="en-GB" w:eastAsia="zh-CN"/>
              </w:rPr>
              <w:t>igh</w:t>
            </w:r>
          </w:p>
          <w:p>
            <w:pPr>
              <w:spacing w:before="0" w:after="0" w:line="240" w:lineRule="auto"/>
              <w:rPr>
                <w:rFonts w:ascii="New York" w:hAnsi="New York"/>
                <w:lang w:val="en-GB" w:eastAsia="zh-CN"/>
              </w:rPr>
            </w:pPr>
            <w:r>
              <w:rPr>
                <w:rFonts w:ascii="New York" w:hAnsi="New York"/>
                <w:lang w:val="en-GB" w:eastAsia="zh-CN"/>
              </w:rPr>
              <w:t>Even in inactive state, UE has to perform CSI measurement, AGC adjustment, beam measurement and RRM measurement,</w:t>
            </w:r>
          </w:p>
        </w:tc>
        <w:tc>
          <w:tcPr>
            <w:tcW w:w="3871" w:type="dxa"/>
            <w:vAlign w:val="center"/>
          </w:tcPr>
          <w:p>
            <w:pPr>
              <w:spacing w:before="0" w:after="0" w:line="240" w:lineRule="auto"/>
              <w:rPr>
                <w:rFonts w:ascii="New York" w:hAnsi="New York"/>
                <w:lang w:val="en-GB" w:eastAsia="zh-CN"/>
              </w:rPr>
            </w:pPr>
            <w:r>
              <w:rPr>
                <w:rFonts w:hint="eastAsia" w:ascii="New York" w:hAnsi="New York"/>
                <w:lang w:val="en-GB" w:eastAsia="zh-CN"/>
              </w:rPr>
              <w:t>L</w:t>
            </w:r>
            <w:r>
              <w:rPr>
                <w:rFonts w:ascii="New York" w:hAnsi="New York"/>
                <w:lang w:val="en-GB" w:eastAsia="zh-CN"/>
              </w:rPr>
              <w:t>ow</w:t>
            </w:r>
          </w:p>
          <w:p>
            <w:pPr>
              <w:spacing w:before="0" w:after="0" w:line="240" w:lineRule="auto"/>
              <w:rPr>
                <w:rFonts w:ascii="New York" w:hAnsi="New York"/>
                <w:lang w:val="en-GB" w:eastAsia="zh-CN"/>
              </w:rPr>
            </w:pPr>
            <w:r>
              <w:rPr>
                <w:rFonts w:ascii="New York" w:hAnsi="New York"/>
                <w:lang w:val="en-GB" w:eastAsia="zh-CN"/>
              </w:rPr>
              <w:t>In inactive state, only RRM measurement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New York" w:hAnsi="New York"/>
                <w:lang w:val="en-GB" w:eastAsia="zh-CN"/>
              </w:rPr>
            </w:pPr>
            <w:r>
              <w:rPr>
                <w:rFonts w:hint="eastAsia" w:ascii="New York" w:hAnsi="New York"/>
                <w:lang w:val="en-GB" w:eastAsia="zh-CN"/>
              </w:rPr>
              <w:t>R</w:t>
            </w:r>
            <w:r>
              <w:rPr>
                <w:rFonts w:ascii="New York" w:hAnsi="New York"/>
                <w:lang w:val="en-GB" w:eastAsia="zh-CN"/>
              </w:rPr>
              <w:t>esource overhead</w:t>
            </w:r>
          </w:p>
        </w:tc>
        <w:tc>
          <w:tcPr>
            <w:tcW w:w="3747" w:type="dxa"/>
            <w:vAlign w:val="center"/>
          </w:tcPr>
          <w:p>
            <w:pPr>
              <w:spacing w:before="0" w:after="0" w:line="240" w:lineRule="auto"/>
              <w:rPr>
                <w:rFonts w:ascii="New York" w:hAnsi="New York"/>
                <w:lang w:val="en-GB" w:eastAsia="zh-CN"/>
              </w:rPr>
            </w:pPr>
            <w:r>
              <w:rPr>
                <w:rFonts w:hint="eastAsia" w:ascii="New York" w:hAnsi="New York"/>
                <w:lang w:val="en-GB" w:eastAsia="zh-CN"/>
              </w:rPr>
              <w:t>H</w:t>
            </w:r>
            <w:r>
              <w:rPr>
                <w:rFonts w:ascii="New York" w:hAnsi="New York"/>
                <w:lang w:val="en-GB" w:eastAsia="zh-CN"/>
              </w:rPr>
              <w:t>igh</w:t>
            </w:r>
          </w:p>
          <w:p>
            <w:pPr>
              <w:pStyle w:val="114"/>
              <w:numPr>
                <w:ilvl w:val="0"/>
                <w:numId w:val="14"/>
              </w:numPr>
              <w:spacing w:before="0" w:after="0" w:line="240" w:lineRule="auto"/>
              <w:rPr>
                <w:rFonts w:ascii="New York" w:hAnsi="New York"/>
                <w:lang w:eastAsia="zh-CN"/>
              </w:rPr>
            </w:pPr>
            <w:r>
              <w:rPr>
                <w:rFonts w:ascii="New York" w:hAnsi="New York"/>
                <w:lang w:eastAsia="zh-CN"/>
              </w:rPr>
              <w:t>Frequent CSI report is needed for CSI measurement and beam measurement.</w:t>
            </w:r>
          </w:p>
          <w:p>
            <w:pPr>
              <w:pStyle w:val="114"/>
              <w:numPr>
                <w:ilvl w:val="0"/>
                <w:numId w:val="14"/>
              </w:numPr>
              <w:spacing w:before="0" w:after="0" w:line="240" w:lineRule="auto"/>
              <w:rPr>
                <w:rFonts w:ascii="New York" w:hAnsi="New York"/>
                <w:lang w:eastAsia="zh-CN"/>
              </w:rPr>
            </w:pPr>
            <w:r>
              <w:rPr>
                <w:rFonts w:ascii="New York" w:hAnsi="New York"/>
                <w:lang w:eastAsia="zh-CN"/>
              </w:rPr>
              <w:t>RRM measurement report is also needed.</w:t>
            </w:r>
          </w:p>
        </w:tc>
        <w:tc>
          <w:tcPr>
            <w:tcW w:w="3871" w:type="dxa"/>
            <w:vAlign w:val="center"/>
          </w:tcPr>
          <w:p>
            <w:pPr>
              <w:spacing w:before="0" w:after="0" w:line="240" w:lineRule="auto"/>
              <w:rPr>
                <w:rFonts w:ascii="New York" w:hAnsi="New York"/>
                <w:lang w:val="en-GB" w:eastAsia="zh-CN"/>
              </w:rPr>
            </w:pPr>
            <w:r>
              <w:rPr>
                <w:rFonts w:hint="eastAsia" w:ascii="New York" w:hAnsi="New York"/>
                <w:lang w:val="en-GB" w:eastAsia="zh-CN"/>
              </w:rPr>
              <w:t>L</w:t>
            </w:r>
            <w:r>
              <w:rPr>
                <w:rFonts w:ascii="New York" w:hAnsi="New York"/>
                <w:lang w:val="en-GB" w:eastAsia="zh-CN"/>
              </w:rPr>
              <w:t>ow</w:t>
            </w:r>
          </w:p>
          <w:p>
            <w:pPr>
              <w:spacing w:before="0" w:after="0" w:line="240" w:lineRule="auto"/>
              <w:rPr>
                <w:rFonts w:ascii="New York" w:hAnsi="New York"/>
                <w:lang w:val="en-GB" w:eastAsia="zh-CN"/>
              </w:rPr>
            </w:pPr>
            <w:r>
              <w:rPr>
                <w:rFonts w:hint="eastAsia" w:ascii="New York" w:hAnsi="New York"/>
                <w:lang w:val="en-GB" w:eastAsia="zh-CN"/>
              </w:rPr>
              <w:t>O</w:t>
            </w:r>
            <w:r>
              <w:rPr>
                <w:rFonts w:ascii="New York" w:hAnsi="New York"/>
                <w:lang w:val="en-GB" w:eastAsia="zh-CN"/>
              </w:rPr>
              <w:t>nly RRM measurement report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rPr>
                <w:rFonts w:ascii="New York" w:hAnsi="New York"/>
                <w:lang w:val="en-GB" w:eastAsia="zh-CN"/>
              </w:rPr>
            </w:pPr>
            <w:r>
              <w:rPr>
                <w:rFonts w:hint="eastAsia" w:ascii="New York" w:hAnsi="New York"/>
                <w:lang w:val="en-GB" w:eastAsia="zh-CN"/>
              </w:rPr>
              <w:t>S</w:t>
            </w:r>
            <w:r>
              <w:rPr>
                <w:rFonts w:ascii="New York" w:hAnsi="New York"/>
                <w:lang w:val="en-GB" w:eastAsia="zh-CN"/>
              </w:rPr>
              <w:t>pec impact</w:t>
            </w:r>
          </w:p>
        </w:tc>
        <w:tc>
          <w:tcPr>
            <w:tcW w:w="3747" w:type="dxa"/>
            <w:vAlign w:val="center"/>
          </w:tcPr>
          <w:p>
            <w:pPr>
              <w:spacing w:before="0" w:after="0" w:line="240" w:lineRule="auto"/>
              <w:rPr>
                <w:rFonts w:ascii="New York" w:hAnsi="New York"/>
                <w:lang w:val="en-GB" w:eastAsia="zh-CN"/>
              </w:rPr>
            </w:pPr>
            <w:r>
              <w:rPr>
                <w:rFonts w:hint="eastAsia" w:ascii="New York" w:hAnsi="New York"/>
                <w:lang w:val="en-GB" w:eastAsia="zh-CN"/>
              </w:rPr>
              <w:t>H</w:t>
            </w:r>
            <w:r>
              <w:rPr>
                <w:rFonts w:ascii="New York" w:hAnsi="New York"/>
                <w:lang w:val="en-GB" w:eastAsia="zh-CN"/>
              </w:rPr>
              <w:t xml:space="preserve">ow to trigger UE from ‘inactive state’ to ‘active state’ when UE is not required to monitor PDCCH in the SCell being activated. </w:t>
            </w:r>
          </w:p>
        </w:tc>
        <w:tc>
          <w:tcPr>
            <w:tcW w:w="3871" w:type="dxa"/>
            <w:vAlign w:val="center"/>
          </w:tcPr>
          <w:p>
            <w:pPr>
              <w:spacing w:before="0" w:after="0" w:line="240" w:lineRule="auto"/>
              <w:rPr>
                <w:rFonts w:ascii="New York" w:hAnsi="New York"/>
                <w:lang w:val="en-GB" w:eastAsia="zh-CN"/>
              </w:rPr>
            </w:pPr>
            <w:r>
              <w:rPr>
                <w:rFonts w:hint="eastAsia" w:ascii="New York" w:hAnsi="New York"/>
                <w:lang w:val="en-GB" w:eastAsia="zh-CN"/>
              </w:rPr>
              <w:t>H</w:t>
            </w:r>
            <w:r>
              <w:rPr>
                <w:rFonts w:ascii="New York" w:hAnsi="New York"/>
                <w:lang w:val="en-GB" w:eastAsia="zh-CN"/>
              </w:rPr>
              <w:t>ow to trigger temporary RS during SCell activation.</w:t>
            </w:r>
          </w:p>
        </w:tc>
      </w:tr>
    </w:tbl>
    <w:p>
      <w:pPr>
        <w:rPr>
          <w:lang w:eastAsia="zh-CN"/>
        </w:rPr>
      </w:pPr>
    </w:p>
    <w:p>
      <w:pPr>
        <w:rPr>
          <w:i/>
          <w:lang w:val="en-GB" w:eastAsia="zh-CN"/>
        </w:rPr>
      </w:pPr>
      <w:r>
        <w:rPr>
          <w:b/>
          <w:i/>
          <w:lang w:val="en-GB" w:eastAsia="zh-CN"/>
        </w:rPr>
        <w:t>Observation 2</w:t>
      </w:r>
      <w:r>
        <w:rPr>
          <w:i/>
          <w:lang w:val="en-GB" w:eastAsia="zh-CN"/>
        </w:rPr>
        <w:t>: Faster SCell activation solution dependents on the trade-off between SCell activation delay and power consumption/resource overhead.</w:t>
      </w:r>
    </w:p>
    <w:p>
      <w:pPr>
        <w:rPr>
          <w:i/>
          <w:lang w:val="en-GB" w:eastAsia="zh-CN"/>
        </w:rPr>
      </w:pPr>
      <w:r>
        <w:rPr>
          <w:b/>
          <w:i/>
          <w:lang w:val="en-GB" w:eastAsia="zh-CN"/>
        </w:rPr>
        <w:t>Observation 3</w:t>
      </w:r>
      <w:r>
        <w:rPr>
          <w:i/>
          <w:lang w:val="en-GB" w:eastAsia="zh-CN"/>
        </w:rPr>
        <w:t>: For known SCell, ‘Dormancy’ behaviour owns a smaller activation delay at the cost of higher power consumption and UL resource overhead.</w:t>
      </w:r>
    </w:p>
    <w:p>
      <w:pPr>
        <w:rPr>
          <w:i/>
          <w:lang w:val="en-GB" w:eastAsia="zh-CN"/>
        </w:rPr>
      </w:pPr>
      <w:r>
        <w:rPr>
          <w:b/>
          <w:i/>
          <w:lang w:val="en-GB" w:eastAsia="zh-CN"/>
        </w:rPr>
        <w:t>Observation 4</w:t>
      </w:r>
      <w:r>
        <w:rPr>
          <w:i/>
          <w:lang w:val="en-GB" w:eastAsia="zh-CN"/>
        </w:rPr>
        <w:t>: Fast traffic adaptation can be realized via BWP switching instead of SCell adaptation.</w:t>
      </w:r>
    </w:p>
    <w:p>
      <w:pPr>
        <w:rPr>
          <w:i/>
          <w:lang w:val="en-GB" w:eastAsia="zh-CN"/>
        </w:rPr>
      </w:pPr>
      <w:r>
        <w:rPr>
          <w:b/>
          <w:i/>
          <w:lang w:val="en-GB" w:eastAsia="zh-CN"/>
        </w:rPr>
        <w:t>Observation 5</w:t>
      </w:r>
      <w:r>
        <w:rPr>
          <w:i/>
          <w:lang w:val="en-GB" w:eastAsia="zh-CN"/>
        </w:rPr>
        <w:t>: From RAN1 perspective, activating SP-TRS for SCell activation is an implementation issue.</w:t>
      </w:r>
    </w:p>
    <w:p>
      <w:pPr>
        <w:rPr>
          <w:i/>
          <w:lang w:val="en-GB" w:eastAsia="zh-CN"/>
        </w:rPr>
      </w:pPr>
      <w:r>
        <w:rPr>
          <w:b/>
          <w:i/>
          <w:lang w:val="en-GB" w:eastAsia="zh-CN"/>
        </w:rPr>
        <w:t>Proposal 1</w:t>
      </w:r>
      <w:r>
        <w:rPr>
          <w:i/>
          <w:lang w:val="en-GB" w:eastAsia="zh-CN"/>
        </w:rPr>
        <w:t>: NR supports temporary RS, e.g., CSI-RS/TRS, for SCell activation to reduce the activation delay.</w:t>
      </w:r>
    </w:p>
    <w:p>
      <w:pPr>
        <w:pStyle w:val="2"/>
        <w:rPr>
          <w:lang w:eastAsia="zh-CN"/>
        </w:rPr>
      </w:pPr>
      <w:r>
        <w:rPr>
          <w:rFonts w:hint="eastAsia"/>
          <w:lang w:eastAsia="zh-CN"/>
        </w:rPr>
        <w:t>R</w:t>
      </w:r>
      <w:r>
        <w:rPr>
          <w:lang w:eastAsia="zh-CN"/>
        </w:rPr>
        <w:t>eference</w:t>
      </w:r>
    </w:p>
    <w:p>
      <w:pPr>
        <w:pStyle w:val="126"/>
        <w:rPr>
          <w:lang w:eastAsia="zh-CN"/>
        </w:rPr>
      </w:pPr>
      <w:bookmarkStart w:id="3" w:name="_Ref14807661"/>
      <w:bookmarkStart w:id="4" w:name="_Ref7345098"/>
      <w:r>
        <w:rPr>
          <w:lang w:eastAsia="zh-CN"/>
        </w:rPr>
        <w:t>R2-1908483, “LS on NR fast SCell activation”, RAN2#106.</w:t>
      </w:r>
      <w:bookmarkEnd w:id="3"/>
      <w:bookmarkEnd w:id="4"/>
    </w:p>
    <w:p>
      <w:pPr>
        <w:pStyle w:val="126"/>
        <w:rPr>
          <w:lang w:eastAsia="zh-CN"/>
        </w:rPr>
      </w:pPr>
      <w:bookmarkStart w:id="5" w:name="_Ref16597555"/>
      <w:r>
        <w:rPr>
          <w:lang w:eastAsia="zh-CN"/>
        </w:rPr>
        <w:t>R1-1908248, “Draft reply LS on fast SCell activation”, RAN1#98, ZTE.</w:t>
      </w:r>
      <w:bookmarkEnd w:id="5"/>
    </w:p>
    <w:p>
      <w:pPr>
        <w:pStyle w:val="126"/>
        <w:rPr>
          <w:lang w:eastAsia="zh-CN"/>
        </w:rPr>
      </w:pPr>
      <w:bookmarkStart w:id="6" w:name="_Ref15115851"/>
      <w:bookmarkStart w:id="7" w:name="_Ref16598529"/>
      <w:r>
        <w:rPr>
          <w:lang w:eastAsia="zh-CN"/>
        </w:rPr>
        <w:t>TS38.133, “Requirements for support of radio resource management”</w:t>
      </w:r>
      <w:bookmarkEnd w:id="6"/>
      <w:r>
        <w:rPr>
          <w:lang w:eastAsia="zh-CN"/>
        </w:rPr>
        <w:t>.</w:t>
      </w:r>
      <w:bookmarkEnd w:id="7"/>
    </w:p>
    <w:p>
      <w:pPr>
        <w:pStyle w:val="126"/>
        <w:rPr>
          <w:lang w:eastAsia="zh-CN"/>
        </w:rPr>
      </w:pPr>
      <w:bookmarkStart w:id="8" w:name="_Ref16598738"/>
      <w:r>
        <w:rPr>
          <w:lang w:eastAsia="zh-CN"/>
        </w:rPr>
        <w:t>R1-1907306, Fast SCG and SCell Activation, RAN1#97, Qualcomm.</w:t>
      </w:r>
      <w:bookmarkEnd w:id="8"/>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5</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5</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5851857"/>
    <w:multiLevelType w:val="multilevel"/>
    <w:tmpl w:val="2585185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2E1D39B5"/>
    <w:multiLevelType w:val="multilevel"/>
    <w:tmpl w:val="2E1D39B5"/>
    <w:lvl w:ilvl="0" w:tentative="0">
      <w:start w:val="1"/>
      <w:numFmt w:val="decimal"/>
      <w:lvlText w:val="(%1)"/>
      <w:lvlJc w:val="left"/>
      <w:pPr>
        <w:ind w:left="560" w:hanging="360"/>
      </w:pPr>
      <w:rPr>
        <w:rFonts w:hint="default"/>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9076443"/>
    <w:multiLevelType w:val="multilevel"/>
    <w:tmpl w:val="4907644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0932689"/>
    <w:multiLevelType w:val="multilevel"/>
    <w:tmpl w:val="6093268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5135B7F"/>
    <w:multiLevelType w:val="multilevel"/>
    <w:tmpl w:val="65135B7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90D57F7"/>
    <w:multiLevelType w:val="multilevel"/>
    <w:tmpl w:val="690D57F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0"/>
  </w:num>
  <w:num w:numId="4">
    <w:abstractNumId w:val="5"/>
  </w:num>
  <w:num w:numId="5">
    <w:abstractNumId w:val="13"/>
  </w:num>
  <w:num w:numId="6">
    <w:abstractNumId w:val="8"/>
  </w:num>
  <w:num w:numId="7">
    <w:abstractNumId w:val="4"/>
  </w:num>
  <w:num w:numId="8">
    <w:abstractNumId w:val="12"/>
  </w:num>
  <w:num w:numId="9">
    <w:abstractNumId w:val="3"/>
  </w:num>
  <w:num w:numId="10">
    <w:abstractNumId w:val="6"/>
  </w:num>
  <w:num w:numId="11">
    <w:abstractNumId w:val="7"/>
  </w:num>
  <w:num w:numId="12">
    <w:abstractNumId w:val="11"/>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650"/>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CF3"/>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5F5"/>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172"/>
    <w:rsid w:val="000D7268"/>
    <w:rsid w:val="000D73AC"/>
    <w:rsid w:val="000D7783"/>
    <w:rsid w:val="000E011D"/>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194"/>
    <w:rsid w:val="000F6799"/>
    <w:rsid w:val="000F6881"/>
    <w:rsid w:val="000F6C32"/>
    <w:rsid w:val="000F6CB0"/>
    <w:rsid w:val="000F6D86"/>
    <w:rsid w:val="000F6FA8"/>
    <w:rsid w:val="000F732A"/>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790"/>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436"/>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11"/>
    <w:rsid w:val="00141E46"/>
    <w:rsid w:val="00141ED1"/>
    <w:rsid w:val="00141F72"/>
    <w:rsid w:val="0014206B"/>
    <w:rsid w:val="00142093"/>
    <w:rsid w:val="00142E42"/>
    <w:rsid w:val="00142F73"/>
    <w:rsid w:val="00143153"/>
    <w:rsid w:val="0014371C"/>
    <w:rsid w:val="001438CE"/>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7B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CB1"/>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F1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6872"/>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AAE"/>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482F"/>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6E8"/>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2A5A"/>
    <w:rsid w:val="002130BD"/>
    <w:rsid w:val="00213342"/>
    <w:rsid w:val="002137C4"/>
    <w:rsid w:val="00213851"/>
    <w:rsid w:val="00214E0D"/>
    <w:rsid w:val="0021512E"/>
    <w:rsid w:val="0021586D"/>
    <w:rsid w:val="00215D76"/>
    <w:rsid w:val="002162EA"/>
    <w:rsid w:val="002165F9"/>
    <w:rsid w:val="00216685"/>
    <w:rsid w:val="002169E1"/>
    <w:rsid w:val="00216B17"/>
    <w:rsid w:val="00216BBF"/>
    <w:rsid w:val="00216D0D"/>
    <w:rsid w:val="00216ED1"/>
    <w:rsid w:val="00217135"/>
    <w:rsid w:val="0021797D"/>
    <w:rsid w:val="00217C32"/>
    <w:rsid w:val="00217CE8"/>
    <w:rsid w:val="0022003A"/>
    <w:rsid w:val="0022028E"/>
    <w:rsid w:val="002202EC"/>
    <w:rsid w:val="002204ED"/>
    <w:rsid w:val="002208BE"/>
    <w:rsid w:val="0022091D"/>
    <w:rsid w:val="00220AC4"/>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185"/>
    <w:rsid w:val="0027540F"/>
    <w:rsid w:val="00275464"/>
    <w:rsid w:val="0027568B"/>
    <w:rsid w:val="002756D5"/>
    <w:rsid w:val="002757BD"/>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22"/>
    <w:rsid w:val="002832E7"/>
    <w:rsid w:val="00284523"/>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8B4"/>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163"/>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C98"/>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D6F"/>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6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3F4"/>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596"/>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B92"/>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AFB"/>
    <w:rsid w:val="00453BB4"/>
    <w:rsid w:val="00453DEF"/>
    <w:rsid w:val="004540AC"/>
    <w:rsid w:val="004543E4"/>
    <w:rsid w:val="004548E5"/>
    <w:rsid w:val="00454ACD"/>
    <w:rsid w:val="00454E44"/>
    <w:rsid w:val="00454F08"/>
    <w:rsid w:val="00454F85"/>
    <w:rsid w:val="00455105"/>
    <w:rsid w:val="004553F6"/>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664CF"/>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70E"/>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B70"/>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67CB"/>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549"/>
    <w:rsid w:val="004B269E"/>
    <w:rsid w:val="004B2700"/>
    <w:rsid w:val="004B2B31"/>
    <w:rsid w:val="004B2C33"/>
    <w:rsid w:val="004B2CDB"/>
    <w:rsid w:val="004B2DE8"/>
    <w:rsid w:val="004B2F6E"/>
    <w:rsid w:val="004B3C3F"/>
    <w:rsid w:val="004B45A2"/>
    <w:rsid w:val="004B46C3"/>
    <w:rsid w:val="004B4789"/>
    <w:rsid w:val="004B4835"/>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3EB"/>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D62"/>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5F6C"/>
    <w:rsid w:val="00536195"/>
    <w:rsid w:val="00536802"/>
    <w:rsid w:val="00536AEE"/>
    <w:rsid w:val="00536D47"/>
    <w:rsid w:val="00537092"/>
    <w:rsid w:val="00537640"/>
    <w:rsid w:val="00537989"/>
    <w:rsid w:val="00537BE9"/>
    <w:rsid w:val="00540055"/>
    <w:rsid w:val="00540147"/>
    <w:rsid w:val="00540725"/>
    <w:rsid w:val="005408AA"/>
    <w:rsid w:val="00540C7A"/>
    <w:rsid w:val="00540ED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7E0"/>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3FF"/>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64E"/>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BD2"/>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6FEE"/>
    <w:rsid w:val="006074B1"/>
    <w:rsid w:val="00607ADE"/>
    <w:rsid w:val="00607E68"/>
    <w:rsid w:val="00610224"/>
    <w:rsid w:val="006102C6"/>
    <w:rsid w:val="006103F0"/>
    <w:rsid w:val="00610B78"/>
    <w:rsid w:val="006113A9"/>
    <w:rsid w:val="006117DE"/>
    <w:rsid w:val="00611C82"/>
    <w:rsid w:val="00611FFC"/>
    <w:rsid w:val="006125DB"/>
    <w:rsid w:val="00612A39"/>
    <w:rsid w:val="00612C73"/>
    <w:rsid w:val="00612E96"/>
    <w:rsid w:val="006133A2"/>
    <w:rsid w:val="006134CE"/>
    <w:rsid w:val="00613895"/>
    <w:rsid w:val="006138D8"/>
    <w:rsid w:val="00613A55"/>
    <w:rsid w:val="00613D42"/>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F1B"/>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5C0"/>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97E"/>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87FE6"/>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845"/>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5D24"/>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67A"/>
    <w:rsid w:val="006D6A2B"/>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040"/>
    <w:rsid w:val="006E71A8"/>
    <w:rsid w:val="006E7496"/>
    <w:rsid w:val="006E7883"/>
    <w:rsid w:val="006E7969"/>
    <w:rsid w:val="006E7E49"/>
    <w:rsid w:val="006E7F71"/>
    <w:rsid w:val="006F0209"/>
    <w:rsid w:val="006F05C2"/>
    <w:rsid w:val="006F090B"/>
    <w:rsid w:val="006F0C12"/>
    <w:rsid w:val="006F0DB2"/>
    <w:rsid w:val="006F0E38"/>
    <w:rsid w:val="006F0EB1"/>
    <w:rsid w:val="006F0F15"/>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51"/>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1A5"/>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1B9"/>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016"/>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98F"/>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23D"/>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4B1"/>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1DC"/>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BDE"/>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9EF"/>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B9D"/>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CBA"/>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795"/>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848"/>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C10"/>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449"/>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A67"/>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89E"/>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13C"/>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D15"/>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1A"/>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C2"/>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3EF2"/>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923"/>
    <w:rsid w:val="00A23E0D"/>
    <w:rsid w:val="00A24002"/>
    <w:rsid w:val="00A24449"/>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9FF"/>
    <w:rsid w:val="00A40C1E"/>
    <w:rsid w:val="00A41821"/>
    <w:rsid w:val="00A41C5C"/>
    <w:rsid w:val="00A41D7F"/>
    <w:rsid w:val="00A41EF0"/>
    <w:rsid w:val="00A422A2"/>
    <w:rsid w:val="00A42659"/>
    <w:rsid w:val="00A42691"/>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140"/>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747"/>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B"/>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9"/>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70D"/>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058"/>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6BF"/>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962"/>
    <w:rsid w:val="00B41B34"/>
    <w:rsid w:val="00B41BEE"/>
    <w:rsid w:val="00B42196"/>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C52"/>
    <w:rsid w:val="00B50E09"/>
    <w:rsid w:val="00B50FD1"/>
    <w:rsid w:val="00B51420"/>
    <w:rsid w:val="00B51526"/>
    <w:rsid w:val="00B5171B"/>
    <w:rsid w:val="00B517F1"/>
    <w:rsid w:val="00B518DF"/>
    <w:rsid w:val="00B51A40"/>
    <w:rsid w:val="00B51E62"/>
    <w:rsid w:val="00B5238F"/>
    <w:rsid w:val="00B529F2"/>
    <w:rsid w:val="00B52EC8"/>
    <w:rsid w:val="00B53414"/>
    <w:rsid w:val="00B5370C"/>
    <w:rsid w:val="00B538FF"/>
    <w:rsid w:val="00B53EF5"/>
    <w:rsid w:val="00B54126"/>
    <w:rsid w:val="00B542BA"/>
    <w:rsid w:val="00B54989"/>
    <w:rsid w:val="00B54CC5"/>
    <w:rsid w:val="00B54E12"/>
    <w:rsid w:val="00B553CF"/>
    <w:rsid w:val="00B55589"/>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3CD3"/>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6A2"/>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968"/>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51"/>
    <w:rsid w:val="00C40CD4"/>
    <w:rsid w:val="00C40E32"/>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C6F"/>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2"/>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A7E4D"/>
    <w:rsid w:val="00CB0072"/>
    <w:rsid w:val="00CB01BC"/>
    <w:rsid w:val="00CB03CF"/>
    <w:rsid w:val="00CB047F"/>
    <w:rsid w:val="00CB11BD"/>
    <w:rsid w:val="00CB1368"/>
    <w:rsid w:val="00CB167F"/>
    <w:rsid w:val="00CB1B48"/>
    <w:rsid w:val="00CB1F2A"/>
    <w:rsid w:val="00CB2655"/>
    <w:rsid w:val="00CB299C"/>
    <w:rsid w:val="00CB2BBA"/>
    <w:rsid w:val="00CB3296"/>
    <w:rsid w:val="00CB35ED"/>
    <w:rsid w:val="00CB39EB"/>
    <w:rsid w:val="00CB3A64"/>
    <w:rsid w:val="00CB41E7"/>
    <w:rsid w:val="00CB44EE"/>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2E1"/>
    <w:rsid w:val="00CC4365"/>
    <w:rsid w:val="00CC4C5E"/>
    <w:rsid w:val="00CC4C9E"/>
    <w:rsid w:val="00CC4CD7"/>
    <w:rsid w:val="00CC4F58"/>
    <w:rsid w:val="00CC57AE"/>
    <w:rsid w:val="00CC606C"/>
    <w:rsid w:val="00CC620F"/>
    <w:rsid w:val="00CC62A0"/>
    <w:rsid w:val="00CC728B"/>
    <w:rsid w:val="00CC7356"/>
    <w:rsid w:val="00CC74D5"/>
    <w:rsid w:val="00CC74E5"/>
    <w:rsid w:val="00CC7916"/>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38F6"/>
    <w:rsid w:val="00D4429F"/>
    <w:rsid w:val="00D44A5C"/>
    <w:rsid w:val="00D44CC3"/>
    <w:rsid w:val="00D45B68"/>
    <w:rsid w:val="00D4601D"/>
    <w:rsid w:val="00D4637B"/>
    <w:rsid w:val="00D466E5"/>
    <w:rsid w:val="00D467C7"/>
    <w:rsid w:val="00D4688E"/>
    <w:rsid w:val="00D469B7"/>
    <w:rsid w:val="00D46E3E"/>
    <w:rsid w:val="00D46F2D"/>
    <w:rsid w:val="00D470C1"/>
    <w:rsid w:val="00D47147"/>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08C"/>
    <w:rsid w:val="00D572B2"/>
    <w:rsid w:val="00D57AC0"/>
    <w:rsid w:val="00D57C20"/>
    <w:rsid w:val="00D57F0A"/>
    <w:rsid w:val="00D60207"/>
    <w:rsid w:val="00D6041F"/>
    <w:rsid w:val="00D60674"/>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777C8"/>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5D5"/>
    <w:rsid w:val="00D94909"/>
    <w:rsid w:val="00D94BB0"/>
    <w:rsid w:val="00D94FF3"/>
    <w:rsid w:val="00D95273"/>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1E6B"/>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07"/>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73"/>
    <w:rsid w:val="00DC5D28"/>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430"/>
    <w:rsid w:val="00DE464E"/>
    <w:rsid w:val="00DE4664"/>
    <w:rsid w:val="00DE4811"/>
    <w:rsid w:val="00DE4B0C"/>
    <w:rsid w:val="00DE5FDA"/>
    <w:rsid w:val="00DE61AA"/>
    <w:rsid w:val="00DE66B9"/>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44C"/>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569"/>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DD0"/>
    <w:rsid w:val="00EF4F32"/>
    <w:rsid w:val="00EF5326"/>
    <w:rsid w:val="00EF57F7"/>
    <w:rsid w:val="00EF5861"/>
    <w:rsid w:val="00EF61C2"/>
    <w:rsid w:val="00EF67E9"/>
    <w:rsid w:val="00EF6EF5"/>
    <w:rsid w:val="00EF6EF8"/>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36C"/>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BA6"/>
    <w:rsid w:val="00F12D5D"/>
    <w:rsid w:val="00F13242"/>
    <w:rsid w:val="00F1403E"/>
    <w:rsid w:val="00F140FE"/>
    <w:rsid w:val="00F1415B"/>
    <w:rsid w:val="00F1418D"/>
    <w:rsid w:val="00F1420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4A"/>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5B82"/>
    <w:rsid w:val="00F46694"/>
    <w:rsid w:val="00F467B0"/>
    <w:rsid w:val="00F4683A"/>
    <w:rsid w:val="00F46AD2"/>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468"/>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387"/>
    <w:rsid w:val="00FD1446"/>
    <w:rsid w:val="00FD235B"/>
    <w:rsid w:val="00FD2804"/>
    <w:rsid w:val="00FD282A"/>
    <w:rsid w:val="00FD2A71"/>
    <w:rsid w:val="00FD2CC7"/>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0F5D"/>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2D361FE"/>
    <w:rsid w:val="03532C3F"/>
    <w:rsid w:val="03B25C4C"/>
    <w:rsid w:val="05C20532"/>
    <w:rsid w:val="067D4C1C"/>
    <w:rsid w:val="06B127E5"/>
    <w:rsid w:val="072F2729"/>
    <w:rsid w:val="07C21FA9"/>
    <w:rsid w:val="0957797D"/>
    <w:rsid w:val="0972706B"/>
    <w:rsid w:val="09776336"/>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3AD0566"/>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8E27F8D"/>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eastAsia="宋体"/>
      <w:sz w:val="36"/>
      <w:lang w:val="en-GB" w:eastAsia="en-US"/>
    </w:rPr>
  </w:style>
  <w:style w:type="character" w:customStyle="1" w:styleId="105">
    <w:name w:val="Heading 2 Char"/>
    <w:link w:val="3"/>
    <w:qFormat/>
    <w:uiPriority w:val="0"/>
    <w:rPr>
      <w:rFonts w:ascii="Arial" w:hAnsi="Arial" w:eastAsia="宋体"/>
      <w:sz w:val="32"/>
      <w:lang w:val="en-GB" w:eastAsia="en-US"/>
    </w:rPr>
  </w:style>
  <w:style w:type="character" w:customStyle="1" w:styleId="106">
    <w:name w:val="Heading 3 Char"/>
    <w:link w:val="4"/>
    <w:qFormat/>
    <w:uiPriority w:val="0"/>
    <w:rPr>
      <w:rFonts w:ascii="Arial" w:hAnsi="Arial" w:eastAsia="宋体"/>
      <w:sz w:val="28"/>
      <w:lang w:val="en-GB" w:eastAsia="en-US"/>
    </w:rPr>
  </w:style>
  <w:style w:type="character" w:customStyle="1" w:styleId="107">
    <w:name w:val="Heading 4 Char"/>
    <w:link w:val="5"/>
    <w:qFormat/>
    <w:uiPriority w:val="0"/>
    <w:rPr>
      <w:rFonts w:ascii="Arial" w:hAnsi="Arial" w:eastAsia="宋体"/>
      <w:sz w:val="24"/>
      <w:lang w:val="en-GB" w:eastAsia="en-US"/>
    </w:rPr>
  </w:style>
  <w:style w:type="character" w:customStyle="1" w:styleId="108">
    <w:name w:val="Heading 5 Char"/>
    <w:link w:val="6"/>
    <w:qFormat/>
    <w:uiPriority w:val="0"/>
    <w:rPr>
      <w:rFonts w:ascii="Arial" w:hAnsi="Arial" w:eastAsia="宋体"/>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99"/>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99"/>
    <w:rPr>
      <w:rFonts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eastAsia="宋体"/>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eastAsia="宋体"/>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 w:type="table" w:customStyle="1" w:styleId="150">
    <w:name w:val="Table Normal2"/>
    <w:basedOn w:val="58"/>
    <w:semiHidden/>
    <w:qFormat/>
    <w:uiPriority w:val="0"/>
    <w:rPr>
      <w:rFonts w:cs="Arial"/>
    </w:rPr>
    <w:tblPr>
      <w:tblLayout w:type="fixed"/>
      <w:tblCellMar>
        <w:top w:w="0" w:type="dxa"/>
        <w:left w:w="108" w:type="dxa"/>
        <w:bottom w:w="0" w:type="dxa"/>
        <w:right w:w="108" w:type="dxa"/>
      </w:tblCellMar>
    </w:tblPr>
  </w:style>
  <w:style w:type="paragraph" w:customStyle="1" w:styleId="151">
    <w:name w:val="正文1"/>
    <w:qFormat/>
    <w:uiPriority w:val="0"/>
    <w:pPr>
      <w:spacing w:before="100" w:beforeAutospacing="1" w:after="180"/>
    </w:pPr>
    <w:rPr>
      <w:rFonts w:ascii="Batang" w:hAnsi="宋体" w:eastAsia="Batang" w:cs="宋体"/>
      <w:sz w:val="24"/>
      <w:szCs w:val="24"/>
      <w:lang w:val="en-US" w:eastAsia="zh-CN" w:bidi="ar-SA"/>
    </w:rPr>
  </w:style>
  <w:style w:type="table" w:customStyle="1" w:styleId="152">
    <w:name w:val="普通表格1"/>
    <w:semiHidden/>
    <w:qFormat/>
    <w:uiPriority w:val="0"/>
    <w:rPr>
      <w:rFonts w:eastAsia="Times New Roman"/>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BE34AA-F3E4-459B-8808-AAF3A0EAF969}">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Pages>
  <Words>2146</Words>
  <Characters>12238</Characters>
  <Lines>101</Lines>
  <Paragraphs>28</Paragraphs>
  <TotalTime>941</TotalTime>
  <ScaleCrop>false</ScaleCrop>
  <LinksUpToDate>false</LinksUpToDate>
  <CharactersWithSpaces>14356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2019-05-02T06:04:00Z</dcterms:created>
  <dc:creator>ZTE Corporation</dc:creator>
  <cp:lastModifiedBy>ZTE</cp:lastModifiedBy>
  <cp:lastPrinted>2018-04-07T03:05:00Z</cp:lastPrinted>
  <dcterms:modified xsi:type="dcterms:W3CDTF">2019-08-17T03:12:41Z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